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2.xml.rels" ContentType="application/vnd.openxmlformats-package.relationships+xml"/>
  <Override PartName="/word/_rels/header3.xml.rels" ContentType="application/vnd.openxmlformats-package.relationships+xml"/>
  <Override PartName="/word/_rels/fontTable.xml.rels" ContentType="application/vnd.openxmlformats-package.relationships+xml"/>
  <Override PartName="/word/fontTable.xml" ContentType="application/vnd.openxmlformats-officedocument.wordprocessingml.fontTable+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jpeg" ContentType="image/jpeg"/>
  <Override PartName="/word/theme/theme1.xml" ContentType="application/vnd.openxmlformats-officedocument.theme+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settings.xml" ContentType="application/vnd.openxmlformats-officedocument.wordprocessingml.settings+xml"/>
  <Override PartName="/word/fonts/font29.odttf" ContentType="application/vnd.openxmlformats-officedocument.obfuscatedFont"/>
  <Override PartName="/word/fonts/font28.odttf" ContentType="application/vnd.openxmlformats-officedocument.obfuscatedFont"/>
  <Override PartName="/word/fonts/font27.odttf" ContentType="application/vnd.openxmlformats-officedocument.obfuscatedFont"/>
  <Override PartName="/word/fonts/font11.odttf" ContentType="application/vnd.openxmlformats-officedocument.obfuscatedFont"/>
  <Override PartName="/word/fonts/font5.odttf" ContentType="application/vnd.openxmlformats-officedocument.obfuscatedFont"/>
  <Override PartName="/word/fonts/font12.odttf" ContentType="application/vnd.openxmlformats-officedocument.obfuscatedFont"/>
  <Override PartName="/word/fonts/font6.odttf" ContentType="application/vnd.openxmlformats-officedocument.obfuscatedFont"/>
  <Override PartName="/word/fonts/font13.odttf" ContentType="application/vnd.openxmlformats-officedocument.obfuscatedFont"/>
  <Override PartName="/word/fonts/font7.odttf" ContentType="application/vnd.openxmlformats-officedocument.obfuscatedFont"/>
  <Override PartName="/word/fonts/font14.odttf" ContentType="application/vnd.openxmlformats-officedocument.obfuscatedFont"/>
  <Override PartName="/word/fonts/font8.odttf" ContentType="application/vnd.openxmlformats-officedocument.obfuscatedFont"/>
  <Override PartName="/word/fonts/font15.odttf" ContentType="application/vnd.openxmlformats-officedocument.obfuscatedFont"/>
  <Override PartName="/word/fonts/font9.odttf" ContentType="application/vnd.openxmlformats-officedocument.obfuscatedFont"/>
  <Override PartName="/word/fonts/font30.odttf" ContentType="application/vnd.openxmlformats-officedocument.obfuscatedFont"/>
  <Override PartName="/word/fonts/font31.odttf" ContentType="application/vnd.openxmlformats-officedocument.obfuscatedFont"/>
  <Override PartName="/word/fonts/font32.odttf" ContentType="application/vnd.openxmlformats-officedocument.obfuscatedFont"/>
  <Override PartName="/word/fonts/font4.odttf" ContentType="application/vnd.openxmlformats-officedocument.obfuscatedFont"/>
  <Override PartName="/word/fonts/font10.odttf" ContentType="application/vnd.openxmlformats-officedocument.obfuscatedFont"/>
  <Override PartName="/word/fonts/font16.odttf" ContentType="application/vnd.openxmlformats-officedocument.obfuscatedFont"/>
  <Override PartName="/word/fonts/font1.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18.odttf" ContentType="application/vnd.openxmlformats-officedocument.obfuscatedFont"/>
  <Override PartName="/word/fonts/font20.odttf" ContentType="application/vnd.openxmlformats-officedocument.obfuscatedFont"/>
  <Override PartName="/word/fonts/font3.odttf" ContentType="application/vnd.openxmlformats-officedocument.obfuscatedFont"/>
  <Override PartName="/word/fonts/font19.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header3.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keepNext w:val="false"/>
        <w:keepLines w:val="false"/>
        <w:pageBreakBefore w:val="false"/>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drawing>
          <wp:anchor behindDoc="0" distT="0" distB="0" distL="0" distR="0" simplePos="0" locked="0" layoutInCell="0" allowOverlap="1" relativeHeight="9">
            <wp:simplePos x="0" y="0"/>
            <wp:positionH relativeFrom="column">
              <wp:posOffset>26035</wp:posOffset>
            </wp:positionH>
            <wp:positionV relativeFrom="paragraph">
              <wp:posOffset>26035</wp:posOffset>
            </wp:positionV>
            <wp:extent cx="1111250" cy="842645"/>
            <wp:effectExtent l="0" t="0" r="0" b="0"/>
            <wp:wrapSquare wrapText="largest"/>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rcRect l="-250" t="-331" r="-250" b="-331"/>
                    <a:stretch>
                      <a:fillRect/>
                    </a:stretch>
                  </pic:blipFill>
                  <pic:spPr bwMode="auto">
                    <a:xfrm>
                      <a:off x="0" y="0"/>
                      <a:ext cx="1111250" cy="842645"/>
                    </a:xfrm>
                    <a:prstGeom prst="rect">
                      <a:avLst/>
                    </a:prstGeom>
                    <a:solidFill>
                      <a:srgbClr val="ffffff"/>
                    </a:solidFill>
                  </pic:spPr>
                </pic:pic>
              </a:graphicData>
            </a:graphic>
          </wp:anchor>
        </w:drawing>
      </w:r>
    </w:p>
    <w:p>
      <w:pPr>
        <w:pStyle w:val="Normal"/>
        <w:suppressAutoHyphens w:val="false"/>
        <w:spacing w:lineRule="auto" w:line="240" w:before="0" w:after="0"/>
        <w:ind w:right="0"/>
        <w:jc w:val="right"/>
        <w:rPr>
          <w:rFonts w:ascii="Marianne" w:hAnsi="Marianne" w:eastAsia="Arial Unicode MS" w:cs="Marianne"/>
          <w:b/>
          <w:bCs/>
          <w:i w:val="false"/>
          <w:i w:val="false"/>
          <w:iCs w:val="false"/>
          <w:kern w:val="2"/>
          <w:sz w:val="20"/>
          <w:szCs w:val="20"/>
          <w:lang w:eastAsia="zh-CN" w:bidi="hi-IN"/>
        </w:rPr>
      </w:pPr>
      <w:r>
        <w:rPr>
          <w:rFonts w:eastAsia="Arial Unicode MS" w:cs="Marianne" w:ascii="Marianne" w:hAnsi="Marianne"/>
          <w:b/>
          <w:bCs/>
          <w:i w:val="false"/>
          <w:iCs w:val="false"/>
          <w:kern w:val="2"/>
          <w:sz w:val="20"/>
          <w:szCs w:val="20"/>
          <w:lang w:eastAsia="zh-CN" w:bidi="hi-IN"/>
        </w:rPr>
        <w:t>Gendarmerie nationale</w:t>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widowControl w:val="false"/>
        <w:suppressAutoHyphens w:val="false"/>
        <w:spacing w:lineRule="auto" w:line="276" w:before="0" w:after="0"/>
        <w:ind w:hanging="0" w:left="0" w:right="0"/>
        <w:jc w:val="both"/>
        <w:rPr>
          <w:rFonts w:ascii="Marianne" w:hAnsi="Marianne"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tbl>
      <w:tblPr>
        <w:tblW w:w="10146" w:type="dxa"/>
        <w:jc w:val="left"/>
        <w:tblInd w:w="0" w:type="dxa"/>
        <w:tblLayout w:type="fixed"/>
        <w:tblCellMar>
          <w:top w:w="0" w:type="dxa"/>
          <w:left w:w="108" w:type="dxa"/>
          <w:bottom w:w="0" w:type="dxa"/>
          <w:right w:w="108" w:type="dxa"/>
        </w:tblCellMar>
      </w:tblPr>
      <w:tblGrid>
        <w:gridCol w:w="10146"/>
      </w:tblGrid>
      <w:tr>
        <w:trPr>
          <w:trHeight w:val="846" w:hRule="atLeast"/>
        </w:trPr>
        <w:tc>
          <w:tcPr>
            <w:tcW w:w="10146" w:type="dxa"/>
            <w:tcBorders>
              <w:top w:val="single" w:sz="12" w:space="0" w:color="000000"/>
              <w:left w:val="single" w:sz="12" w:space="0" w:color="000000"/>
              <w:bottom w:val="single" w:sz="12" w:space="0" w:color="000000"/>
              <w:right w:val="single" w:sz="12" w:space="0" w:color="000000"/>
            </w:tcBorders>
            <w:shd w:fill="DEECEE" w:val="clear"/>
          </w:tcPr>
          <w:p>
            <w:pPr>
              <w:pStyle w:val="normal1"/>
              <w:suppressAutoHyphens w:val="false"/>
              <w:spacing w:lineRule="auto" w:line="240" w:before="120" w:after="0"/>
              <w:jc w:val="center"/>
              <w:rPr>
                <w:rFonts w:ascii="Marianne" w:hAnsi="Marianne" w:eastAsia="Calibri" w:cs="Calibri"/>
                <w:b/>
                <w:bCs/>
                <w:sz w:val="28"/>
                <w:szCs w:val="28"/>
              </w:rPr>
            </w:pPr>
            <w:r>
              <w:rPr>
                <w:rFonts w:eastAsia="Calibri" w:cs="Calibri" w:ascii="Marianne" w:hAnsi="Marianne"/>
                <w:b/>
                <w:bCs/>
                <w:sz w:val="28"/>
                <w:szCs w:val="28"/>
              </w:rPr>
              <w:t>Annexe  5  à l’ATTRI1 et au CCAP</w:t>
            </w:r>
          </w:p>
          <w:p>
            <w:pPr>
              <w:pStyle w:val="normal1"/>
              <w:suppressAutoHyphens w:val="false"/>
              <w:jc w:val="center"/>
              <w:rPr>
                <w:rFonts w:ascii="Marianne" w:hAnsi="Marianne" w:eastAsia="Calibri" w:cs="Calibri"/>
                <w:sz w:val="28"/>
                <w:szCs w:val="28"/>
              </w:rPr>
            </w:pPr>
            <w:r>
              <w:rPr>
                <w:rFonts w:eastAsia="Calibri" w:cs="Calibri" w:ascii="Marianne" w:hAnsi="Marianne"/>
                <w:sz w:val="28"/>
                <w:szCs w:val="28"/>
              </w:rPr>
              <w:t>CAHIER DES CHARGES D’INSERTION SOCIALE – C.C.I.S</w:t>
            </w:r>
          </w:p>
          <w:p>
            <w:pPr>
              <w:pStyle w:val="normal1"/>
              <w:suppressAutoHyphens w:val="false"/>
              <w:jc w:val="center"/>
              <w:rPr>
                <w:rFonts w:ascii="Marianne" w:hAnsi="Marianne" w:eastAsia="Calibri" w:cs="Calibri"/>
                <w:sz w:val="28"/>
                <w:szCs w:val="28"/>
              </w:rPr>
            </w:pPr>
            <w:r>
              <w:rPr>
                <w:rFonts w:eastAsia="Calibri" w:cs="Calibri" w:ascii="Marianne" w:hAnsi="Marianne"/>
                <w:sz w:val="28"/>
                <w:szCs w:val="28"/>
              </w:rPr>
              <w:t>(commune aux 2 lots )</w:t>
            </w:r>
          </w:p>
          <w:p>
            <w:pPr>
              <w:pStyle w:val="normal1"/>
              <w:widowControl/>
              <w:suppressAutoHyphens w:val="false"/>
              <w:bidi w:val="0"/>
              <w:spacing w:before="0" w:after="0"/>
              <w:ind w:hanging="0" w:left="0" w:right="227"/>
              <w:jc w:val="center"/>
              <w:rPr>
                <w:rFonts w:ascii="Marianne" w:hAnsi="Marianne"/>
                <w:sz w:val="28"/>
                <w:szCs w:val="28"/>
              </w:rPr>
            </w:pPr>
            <w:r>
              <w:rPr>
                <w:rFonts w:ascii="Marianne" w:hAnsi="Marianne"/>
                <w:b/>
                <w:bCs/>
                <w:sz w:val="28"/>
                <w:szCs w:val="28"/>
              </w:rPr>
              <w:t>(Article L2112-2 du nouveau Code de la commande publique applicable au 22/08/2021)</w:t>
            </w:r>
          </w:p>
        </w:tc>
      </w:tr>
    </w:tbl>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Header"/>
        <w:suppressAutoHyphens w:val="false"/>
        <w:jc w:val="center"/>
        <w:rPr/>
      </w:pPr>
      <w:r>
        <w:rPr>
          <w:rFonts w:eastAsia="Century Gothic" w:cs="Marianne" w:ascii="Marianne" w:hAnsi="Marianne"/>
          <w:b/>
          <w:bCs/>
          <w:i/>
          <w:sz w:val="20"/>
          <w:szCs w:val="20"/>
          <w:shd w:fill="BBE33D" w:val="clear"/>
        </w:rPr>
        <w:t>D</w:t>
      </w:r>
      <w:r>
        <w:rPr>
          <w:rFonts w:cs="Marianne" w:ascii="Marianne" w:hAnsi="Marianne"/>
          <w:b/>
          <w:bCs/>
          <w:i/>
          <w:sz w:val="20"/>
          <w:szCs w:val="20"/>
          <w:shd w:fill="BBE33D" w:val="clear"/>
        </w:rPr>
        <w:t xml:space="preserve">ispositif d'accompagnement pour la mise en œuvre des clauses d’insertion </w:t>
      </w:r>
    </w:p>
    <w:p>
      <w:pPr>
        <w:pStyle w:val="Header"/>
        <w:suppressAutoHyphens w:val="false"/>
        <w:jc w:val="center"/>
        <w:rPr>
          <w:rFonts w:ascii="Marianne" w:hAnsi="Marianne" w:cs="Marianne"/>
          <w:b/>
          <w:bCs/>
          <w:i/>
          <w:i/>
          <w:sz w:val="20"/>
          <w:szCs w:val="20"/>
          <w:shd w:fill="BBE33D" w:val="clear"/>
        </w:rPr>
      </w:pPr>
      <w:r>
        <w:rPr>
          <w:rFonts w:cs="Marianne" w:ascii="Marianne" w:hAnsi="Marianne"/>
          <w:b/>
          <w:bCs/>
          <w:i/>
          <w:sz w:val="20"/>
          <w:szCs w:val="20"/>
          <w:shd w:fill="BBE33D" w:val="clear"/>
        </w:rPr>
        <w:t>(Article 6 .1 du CCAP)</w:t>
      </w:r>
    </w:p>
    <w:p>
      <w:pPr>
        <w:pStyle w:val="Header"/>
        <w:suppressAutoHyphens w:val="false"/>
        <w:jc w:val="center"/>
        <w:rPr>
          <w:rFonts w:ascii="Marianne" w:hAnsi="Marianne" w:cs="Marianne"/>
          <w:b/>
          <w:bCs/>
          <w:i/>
          <w:i/>
          <w:sz w:val="20"/>
          <w:szCs w:val="20"/>
          <w:shd w:fill="BBE33D" w:val="clear"/>
        </w:rPr>
      </w:pPr>
      <w:r>
        <w:rPr>
          <w:rFonts w:cs="Marianne" w:ascii="Marianne" w:hAnsi="Marianne"/>
          <w:b/>
          <w:bCs/>
          <w:i/>
          <w:sz w:val="20"/>
          <w:szCs w:val="20"/>
          <w:shd w:fill="BBE33D" w:val="clear"/>
        </w:rPr>
        <w:t xml:space="preserve">Cette annexe est réalisée par l’intermédiaire de l’AMO des clauses sociales et facilitateur </w:t>
      </w:r>
    </w:p>
    <w:p>
      <w:pPr>
        <w:pStyle w:val="Header"/>
        <w:suppressAutoHyphens w:val="false"/>
        <w:jc w:val="center"/>
        <w:rPr/>
      </w:pPr>
      <w:r>
        <w:rPr>
          <w:rFonts w:cs="Marianne" w:ascii="Marianne" w:hAnsi="Marianne"/>
          <w:b/>
          <w:bCs/>
          <w:i/>
          <w:sz w:val="20"/>
          <w:szCs w:val="20"/>
          <w:shd w:fill="BBE33D" w:val="clear"/>
        </w:rPr>
        <w:t xml:space="preserve">du département de l’ARDECHE dont les coordonnées sont décrites ci-dessous </w:t>
      </w:r>
    </w:p>
    <w:p>
      <w:pPr>
        <w:pStyle w:val="Normal"/>
        <w:keepNext w:val="true"/>
        <w:widowControl/>
        <w:tabs>
          <w:tab w:val="clear" w:pos="720"/>
        </w:tabs>
        <w:suppressAutoHyphens w:val="false"/>
        <w:bidi w:val="0"/>
        <w:ind w:left="0" w:right="0"/>
        <w:jc w:val="center"/>
        <w:rPr>
          <w:rFonts w:ascii="Marianne" w:hAnsi="Marianne" w:cs="Marianne"/>
          <w:sz w:val="20"/>
          <w:szCs w:val="20"/>
        </w:rPr>
      </w:pPr>
      <w:r>
        <w:rPr>
          <w:rFonts w:cs="Marianne" w:ascii="Marianne" w:hAnsi="Marianne"/>
          <w:sz w:val="20"/>
          <w:szCs w:val="20"/>
        </w:rPr>
      </w:r>
    </w:p>
    <w:p>
      <w:pPr>
        <w:pStyle w:val="Normal"/>
        <w:widowControl/>
        <w:tabs>
          <w:tab w:val="clear" w:pos="720"/>
        </w:tabs>
        <w:suppressAutoHyphens w:val="false"/>
        <w:bidi w:val="0"/>
        <w:ind w:left="0" w:right="0"/>
        <w:jc w:val="center"/>
        <w:rPr>
          <w:rFonts w:ascii="Marianne" w:hAnsi="Marianne" w:cs="Marianne"/>
          <w:sz w:val="20"/>
          <w:szCs w:val="20"/>
        </w:rPr>
      </w:pPr>
      <w:r>
        <w:rPr>
          <w:rFonts w:cs="Marianne" w:ascii="Marianne" w:hAnsi="Marianne"/>
          <w:sz w:val="20"/>
          <w:szCs w:val="20"/>
        </w:rPr>
      </w:r>
    </w:p>
    <w:p>
      <w:pPr>
        <w:pStyle w:val="Normal"/>
        <w:widowControl/>
        <w:tabs>
          <w:tab w:val="clear" w:pos="720"/>
        </w:tabs>
        <w:suppressAutoHyphens w:val="false"/>
        <w:bidi w:val="0"/>
        <w:ind w:left="0" w:right="0"/>
        <w:jc w:val="center"/>
        <w:rPr>
          <w:rFonts w:ascii="Marianne" w:hAnsi="Marianne" w:cs="Marianne"/>
          <w:sz w:val="20"/>
          <w:szCs w:val="20"/>
        </w:rPr>
      </w:pPr>
      <w:r>
        <w:rPr>
          <w:rFonts w:cs="Marianne" w:ascii="Marianne" w:hAnsi="Marianne"/>
          <w:b/>
          <w:bCs/>
          <w:i/>
          <w:sz w:val="20"/>
          <w:szCs w:val="20"/>
        </w:rPr>
        <w:t>« Achat avec clause sociale avec l’intégration d’une part de main d’œuvre d’insertion sur les marchés de travaux » </w:t>
      </w:r>
    </w:p>
    <w:p>
      <w:pPr>
        <w:pStyle w:val="Normal"/>
        <w:suppressAutoHyphens w:val="false"/>
        <w:jc w:val="center"/>
        <w:rPr>
          <w:rFonts w:ascii="Marianne" w:hAnsi="Marianne" w:cs="Marianne"/>
          <w:sz w:val="20"/>
          <w:szCs w:val="20"/>
        </w:rPr>
      </w:pPr>
      <w:r>
        <w:rPr>
          <w:rFonts w:cs="Marianne" w:ascii="Marianne" w:hAnsi="Marianne"/>
          <w:sz w:val="20"/>
          <w:szCs w:val="20"/>
        </w:rPr>
      </w:r>
    </w:p>
    <w:p>
      <w:pPr>
        <w:pStyle w:val="Normal"/>
        <w:keepLines w:val="false"/>
        <w:widowControl/>
        <w:suppressAutoHyphens w:val="false"/>
        <w:overflowPunct w:val="true"/>
        <w:bidi w:val="0"/>
        <w:spacing w:lineRule="auto" w:line="240" w:before="114" w:after="114"/>
        <w:ind w:right="170"/>
        <w:jc w:val="both"/>
        <w:rPr/>
      </w:pPr>
      <w:r>
        <w:rPr>
          <w:rFonts w:eastAsia="Times New Roman" w:cs="Marianne" w:ascii="Marianne" w:hAnsi="Marianne"/>
          <w:b/>
          <w:bCs w:val="false"/>
          <w:color w:val="00000A"/>
          <w:sz w:val="20"/>
          <w:szCs w:val="20"/>
          <w:u w:val="single"/>
          <w:lang w:val="fr-FR" w:eastAsia="fr-FR" w:bidi="ar-SA"/>
        </w:rPr>
        <w:t>OBJET DU MARCHÉ DE TRAVAUX </w:t>
      </w:r>
      <w:r>
        <w:rPr>
          <w:rFonts w:eastAsia="Times New Roman" w:cs="Marianne" w:ascii="Marianne" w:hAnsi="Marianne"/>
          <w:b/>
          <w:bCs w:val="false"/>
          <w:color w:val="00000A"/>
          <w:sz w:val="20"/>
          <w:szCs w:val="20"/>
          <w:lang w:val="fr-FR" w:eastAsia="fr-FR" w:bidi="ar-SA"/>
        </w:rPr>
        <w:t>:</w:t>
      </w:r>
      <w:r>
        <w:rPr>
          <w:rFonts w:eastAsia="Arial-BoldMT;Arial Unicode MS" w:cs="Marianne" w:ascii="Marianne" w:hAnsi="Marianne"/>
          <w:b w:val="false"/>
          <w:bCs w:val="false"/>
          <w:i w:val="false"/>
          <w:iCs/>
          <w:strike w:val="false"/>
          <w:dstrike w:val="false"/>
          <w:outline w:val="false"/>
          <w:shadow w:val="false"/>
          <w:color w:val="000000"/>
          <w:kern w:val="0"/>
          <w:sz w:val="20"/>
          <w:szCs w:val="20"/>
          <w:u w:val="none"/>
          <w:shd w:fill="auto" w:val="clear"/>
          <w:em w:val="none"/>
          <w:lang w:val="fr-FR" w:eastAsia="ar-SA" w:bidi="ar-SA"/>
        </w:rPr>
        <w:t xml:space="preserve"> alloti en deux (2) lots </w:t>
      </w:r>
    </w:p>
    <w:p>
      <w:pPr>
        <w:pStyle w:val="Normal"/>
        <w:widowControl/>
        <w:suppressAutoHyphens w:val="false"/>
        <w:overflowPunct w:val="true"/>
        <w:bidi w:val="0"/>
        <w:spacing w:lineRule="auto" w:line="240" w:before="114" w:after="114"/>
        <w:ind w:right="170"/>
        <w:jc w:val="both"/>
        <w:rPr>
          <w:rFonts w:ascii="Marianne" w:hAnsi="Marianne" w:eastAsia="Arial-BoldMT;Arial Unicode MS" w:cs="Marianne"/>
          <w:b w:val="false"/>
          <w:bCs w:val="false"/>
          <w:i w:val="false"/>
          <w:i w:val="false"/>
          <w:iCs/>
          <w:strike w:val="false"/>
          <w:dstrike w:val="false"/>
          <w:outline w:val="false"/>
          <w:shadow w:val="false"/>
          <w:color w:val="000000"/>
          <w:kern w:val="0"/>
          <w:sz w:val="20"/>
          <w:szCs w:val="20"/>
          <w:u w:val="none"/>
          <w:shd w:fill="auto" w:val="clear"/>
          <w:em w:val="none"/>
          <w:lang w:val="fr-FR" w:eastAsia="ar-SA" w:bidi="ar-SA"/>
        </w:rPr>
      </w:pPr>
      <w:r>
        <w:rPr>
          <w:rFonts w:eastAsia="Arial-BoldMT;Arial Unicode MS" w:cs="Marianne" w:ascii="Marianne" w:hAnsi="Marianne"/>
          <w:b w:val="false"/>
          <w:bCs w:val="false"/>
          <w:i w:val="false"/>
          <w:iCs/>
          <w:strike w:val="false"/>
          <w:dstrike w:val="false"/>
          <w:outline w:val="false"/>
          <w:shadow w:val="false"/>
          <w:color w:val="000000"/>
          <w:kern w:val="0"/>
          <w:sz w:val="20"/>
          <w:szCs w:val="20"/>
          <w:u w:val="none"/>
          <w:shd w:fill="auto" w:val="clear"/>
          <w:em w:val="none"/>
          <w:lang w:val="fr-FR" w:eastAsia="ar-SA" w:bidi="ar-SA"/>
        </w:rPr>
        <w:t>Lot 1  Travaux vrd gros oeuvre</w:t>
      </w:r>
    </w:p>
    <w:p>
      <w:pPr>
        <w:pStyle w:val="Normal"/>
        <w:widowControl/>
        <w:suppressAutoHyphens w:val="false"/>
        <w:overflowPunct w:val="true"/>
        <w:bidi w:val="0"/>
        <w:spacing w:lineRule="auto" w:line="240" w:before="114" w:after="114"/>
        <w:ind w:right="170"/>
        <w:jc w:val="both"/>
        <w:rPr>
          <w:rFonts w:ascii="Marianne" w:hAnsi="Marianne" w:eastAsia="Arial-BoldMT;Arial Unicode MS" w:cs="Marianne"/>
          <w:b w:val="false"/>
          <w:bCs w:val="false"/>
          <w:i w:val="false"/>
          <w:i w:val="false"/>
          <w:iCs/>
          <w:strike w:val="false"/>
          <w:dstrike w:val="false"/>
          <w:outline w:val="false"/>
          <w:shadow w:val="false"/>
          <w:color w:val="000000"/>
          <w:kern w:val="0"/>
          <w:sz w:val="20"/>
          <w:szCs w:val="20"/>
          <w:u w:val="none"/>
          <w:shd w:fill="auto" w:val="clear"/>
          <w:em w:val="none"/>
          <w:lang w:val="fr-FR" w:eastAsia="ar-SA" w:bidi="ar-SA"/>
        </w:rPr>
      </w:pPr>
      <w:r>
        <w:rPr>
          <w:rFonts w:eastAsia="Arial-BoldMT;Arial Unicode MS" w:cs="Marianne" w:ascii="Marianne" w:hAnsi="Marianne"/>
          <w:b w:val="false"/>
          <w:bCs w:val="false"/>
          <w:i w:val="false"/>
          <w:iCs/>
          <w:strike w:val="false"/>
          <w:dstrike w:val="false"/>
          <w:outline w:val="false"/>
          <w:shadow w:val="false"/>
          <w:color w:val="000000"/>
          <w:kern w:val="0"/>
          <w:sz w:val="20"/>
          <w:szCs w:val="20"/>
          <w:u w:val="none"/>
          <w:shd w:fill="auto" w:val="clear"/>
          <w:em w:val="none"/>
          <w:lang w:val="fr-FR" w:eastAsia="ar-SA" w:bidi="ar-SA"/>
        </w:rPr>
        <w:t>Lot 2  Travaux de CVC</w:t>
      </w:r>
    </w:p>
    <w:tbl>
      <w:tblPr>
        <w:tblW w:w="10040" w:type="dxa"/>
        <w:jc w:val="center"/>
        <w:tblInd w:w="0" w:type="dxa"/>
        <w:tblLayout w:type="fixed"/>
        <w:tblCellMar>
          <w:top w:w="0" w:type="dxa"/>
          <w:left w:w="108" w:type="dxa"/>
          <w:bottom w:w="0" w:type="dxa"/>
          <w:right w:w="108" w:type="dxa"/>
        </w:tblCellMar>
      </w:tblPr>
      <w:tblGrid>
        <w:gridCol w:w="2882"/>
        <w:gridCol w:w="7157"/>
      </w:tblGrid>
      <w:tr>
        <w:trPr>
          <w:trHeight w:val="1664" w:hRule="atLeast"/>
          <w:cantSplit w:val="true"/>
        </w:trPr>
        <w:tc>
          <w:tcPr>
            <w:tcW w:w="2882" w:type="dxa"/>
            <w:tcBorders>
              <w:top w:val="single" w:sz="12" w:space="0" w:color="000000"/>
              <w:left w:val="single" w:sz="12" w:space="0" w:color="000000"/>
              <w:bottom w:val="single" w:sz="12" w:space="0" w:color="000000"/>
              <w:right w:val="single" w:sz="12" w:space="0" w:color="000000"/>
            </w:tcBorders>
            <w:vAlign w:val="center"/>
          </w:tcPr>
          <w:p>
            <w:pPr>
              <w:pStyle w:val="normal1"/>
              <w:suppressAutoHyphens w:val="false"/>
              <w:ind w:right="142"/>
              <w:jc w:val="both"/>
              <w:rPr>
                <w:rFonts w:ascii="Marianne" w:hAnsi="Marianne" w:eastAsia="Calibri" w:cs="Calibri"/>
                <w:b/>
                <w:bCs/>
                <w:sz w:val="20"/>
                <w:szCs w:val="20"/>
              </w:rPr>
            </w:pPr>
            <w:r>
              <w:rPr>
                <w:rFonts w:eastAsia="Calibri" w:cs="Calibri" w:ascii="Marianne" w:hAnsi="Marianne"/>
                <w:b/>
                <w:bCs/>
                <w:sz w:val="20"/>
                <w:szCs w:val="20"/>
              </w:rPr>
              <w:t xml:space="preserve"> </w:t>
            </w:r>
            <w:r>
              <w:rPr>
                <w:rFonts w:eastAsia="Calibri" w:cs="Calibri" w:ascii="Marianne" w:hAnsi="Marianne"/>
                <w:b/>
                <w:bCs/>
                <w:sz w:val="20"/>
                <w:szCs w:val="20"/>
              </w:rPr>
              <w:t>Objet du marché de travaux</w:t>
            </w:r>
          </w:p>
        </w:tc>
        <w:tc>
          <w:tcPr>
            <w:tcW w:w="7157" w:type="dxa"/>
            <w:tcBorders>
              <w:top w:val="single" w:sz="12" w:space="0" w:color="000000"/>
              <w:left w:val="single" w:sz="12" w:space="0" w:color="000000"/>
              <w:bottom w:val="single" w:sz="12" w:space="0" w:color="000000"/>
              <w:right w:val="single" w:sz="12" w:space="0" w:color="000000"/>
            </w:tcBorders>
            <w:vAlign w:val="center"/>
          </w:tcPr>
          <w:p>
            <w:pPr>
              <w:pStyle w:val="Normal"/>
              <w:bidi w:val="0"/>
              <w:jc w:val="both"/>
              <w:rPr>
                <w:rFonts w:ascii="Marianne" w:hAnsi="Marianne"/>
                <w:sz w:val="20"/>
                <w:szCs w:val="20"/>
              </w:rPr>
            </w:pPr>
            <w:r>
              <w:rPr>
                <w:rFonts w:ascii="Marianne" w:hAnsi="Marianne"/>
                <w:sz w:val="20"/>
                <w:szCs w:val="20"/>
              </w:rPr>
              <w:t>Travaux de résilience énergétique liés à l’exécution de la rénovation d’une chaufferie par remplacement des 2 chaudières fioul existantes par une solution hybridation de 2 pompes à chaleur AIR /EAU extérieures d’environ 50 Kw, avec 2 chaudières gaz condensation, avec une pose de citerne aérienne propane, neutralisation de cuve FOD et des travaux électriques en chaufferie à la caserne de gendarmerie LARGENTIÈRE – 07</w:t>
            </w:r>
          </w:p>
          <w:p>
            <w:pPr>
              <w:pStyle w:val="Normal"/>
              <w:bidi w:val="0"/>
              <w:jc w:val="both"/>
              <w:rPr>
                <w:rFonts w:ascii="Marianne" w:hAnsi="Marianne"/>
                <w:sz w:val="20"/>
                <w:szCs w:val="20"/>
              </w:rPr>
            </w:pPr>
            <w:r>
              <w:rPr>
                <w:rFonts w:ascii="Marianne" w:hAnsi="Marianne"/>
                <w:sz w:val="20"/>
                <w:szCs w:val="20"/>
              </w:rPr>
              <w:t>L’opération intègre les modalités et contraintes d’une stratégie d’achat national de pompes à chaleur de la DAE.</w:t>
            </w:r>
          </w:p>
        </w:tc>
      </w:tr>
    </w:tbl>
    <w:p>
      <w:pPr>
        <w:pStyle w:val="Normal"/>
        <w:suppressAutoHyphens w:val="false"/>
        <w:jc w:val="center"/>
        <w:rPr>
          <w:rFonts w:ascii="Marianne" w:hAnsi="Marianne" w:cs="Marianne"/>
          <w:sz w:val="20"/>
          <w:szCs w:val="20"/>
        </w:rPr>
      </w:pPr>
      <w:r>
        <w:rPr>
          <w:rFonts w:cs="Marianne" w:ascii="Marianne" w:hAnsi="Marianne"/>
          <w:sz w:val="20"/>
          <w:szCs w:val="20"/>
        </w:rPr>
      </w:r>
    </w:p>
    <w:p>
      <w:pPr>
        <w:pStyle w:val="Normal"/>
        <w:suppressAutoHyphens w:val="false"/>
        <w:jc w:val="center"/>
        <w:rPr>
          <w:rFonts w:ascii="Marianne" w:hAnsi="Marianne" w:cs="Marianne"/>
          <w:sz w:val="20"/>
          <w:szCs w:val="20"/>
        </w:rPr>
      </w:pPr>
      <w:r>
        <w:rPr>
          <w:rFonts w:cs="Marianne" w:ascii="Marianne" w:hAnsi="Marianne"/>
          <w:sz w:val="20"/>
          <w:szCs w:val="20"/>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tbl>
      <w:tblPr>
        <w:tblW w:w="10221" w:type="dxa"/>
        <w:jc w:val="center"/>
        <w:tblInd w:w="0" w:type="dxa"/>
        <w:tblLayout w:type="fixed"/>
        <w:tblCellMar>
          <w:top w:w="0" w:type="dxa"/>
          <w:left w:w="108" w:type="dxa"/>
          <w:bottom w:w="0" w:type="dxa"/>
          <w:right w:w="108" w:type="dxa"/>
        </w:tblCellMar>
      </w:tblPr>
      <w:tblGrid>
        <w:gridCol w:w="1692"/>
        <w:gridCol w:w="8528"/>
      </w:tblGrid>
      <w:tr>
        <w:trPr>
          <w:trHeight w:val="596" w:hRule="atLeast"/>
          <w:cantSplit w:val="true"/>
        </w:trPr>
        <w:tc>
          <w:tcPr>
            <w:tcW w:w="1692" w:type="dxa"/>
            <w:tcBorders>
              <w:top w:val="single" w:sz="6" w:space="0" w:color="000000"/>
              <w:left w:val="single" w:sz="6" w:space="0" w:color="000000"/>
              <w:bottom w:val="single" w:sz="6" w:space="0" w:color="000000"/>
              <w:right w:val="single" w:sz="6" w:space="0" w:color="000000"/>
            </w:tcBorders>
            <w:vAlign w:val="center"/>
          </w:tcPr>
          <w:p>
            <w:pPr>
              <w:pStyle w:val="normal1"/>
              <w:suppressAutoHyphens w:val="false"/>
              <w:ind w:hanging="0" w:left="72"/>
              <w:jc w:val="both"/>
              <w:rPr>
                <w:rFonts w:ascii="Marianne" w:hAnsi="Marianne" w:eastAsia="Calibri" w:cs="Calibri"/>
                <w:b/>
                <w:bCs/>
                <w:sz w:val="20"/>
                <w:szCs w:val="20"/>
              </w:rPr>
            </w:pPr>
            <w:r>
              <w:rPr>
                <w:rFonts w:eastAsia="Calibri" w:cs="Calibri" w:ascii="Marianne" w:hAnsi="Marianne"/>
                <w:b/>
                <w:bCs/>
                <w:sz w:val="20"/>
                <w:szCs w:val="20"/>
              </w:rPr>
              <w:t>Maître</w:t>
            </w:r>
          </w:p>
          <w:p>
            <w:pPr>
              <w:pStyle w:val="normal1"/>
              <w:suppressAutoHyphens w:val="false"/>
              <w:ind w:hanging="0" w:left="72"/>
              <w:jc w:val="both"/>
              <w:rPr>
                <w:rFonts w:ascii="Marianne" w:hAnsi="Marianne" w:eastAsia="Calibri" w:cs="Calibri"/>
                <w:b/>
                <w:bCs/>
                <w:sz w:val="20"/>
                <w:szCs w:val="20"/>
              </w:rPr>
            </w:pPr>
            <w:r>
              <w:rPr>
                <w:rFonts w:eastAsia="Calibri" w:cs="Calibri" w:ascii="Marianne" w:hAnsi="Marianne"/>
                <w:b/>
                <w:bCs/>
                <w:sz w:val="20"/>
                <w:szCs w:val="20"/>
              </w:rPr>
              <w:t>d'Ouvrage</w:t>
            </w:r>
          </w:p>
        </w:tc>
        <w:tc>
          <w:tcPr>
            <w:tcW w:w="8528" w:type="dxa"/>
            <w:tcBorders>
              <w:top w:val="single" w:sz="6" w:space="0" w:color="000000"/>
              <w:left w:val="single" w:sz="6" w:space="0" w:color="000000"/>
              <w:bottom w:val="single" w:sz="6" w:space="0" w:color="000000"/>
              <w:right w:val="single" w:sz="6" w:space="0" w:color="000000"/>
            </w:tcBorders>
            <w:vAlign w:val="center"/>
          </w:tcPr>
          <w:p>
            <w:pPr>
              <w:pStyle w:val="normal1"/>
              <w:suppressAutoHyphens w:val="false"/>
              <w:jc w:val="both"/>
              <w:rPr>
                <w:rFonts w:ascii="Marianne" w:hAnsi="Marianne"/>
                <w:sz w:val="20"/>
                <w:szCs w:val="20"/>
              </w:rPr>
            </w:pPr>
            <w:r>
              <w:rPr>
                <w:rFonts w:ascii="Marianne" w:hAnsi="Marianne"/>
                <w:sz w:val="20"/>
                <w:szCs w:val="20"/>
              </w:rPr>
              <w:t>ÉTAT-MAJOR – DZSO – BUREAU BUDGET ADMINISTRATION – SECTION ADMINISTRATION</w:t>
            </w:r>
          </w:p>
          <w:p>
            <w:pPr>
              <w:pStyle w:val="normal1"/>
              <w:suppressAutoHyphens w:val="false"/>
              <w:jc w:val="both"/>
              <w:rPr>
                <w:rFonts w:ascii="Marianne" w:hAnsi="Marianne"/>
                <w:sz w:val="20"/>
                <w:szCs w:val="20"/>
              </w:rPr>
            </w:pPr>
            <w:r>
              <w:rPr>
                <w:rFonts w:ascii="Marianne" w:hAnsi="Marianne"/>
                <w:sz w:val="20"/>
                <w:szCs w:val="20"/>
              </w:rPr>
              <w:t xml:space="preserve">M. Bruno BOREL / Mme Élisabeth CABARET 04 37 85 23 77 / 23 24  </w:t>
            </w:r>
            <w:hyperlink r:id="rId3">
              <w:r>
                <w:rPr>
                  <w:rStyle w:val="Style"/>
                  <w:rFonts w:ascii="Marianne" w:hAnsi="Marianne"/>
                  <w:color w:val="1155CC"/>
                  <w:sz w:val="20"/>
                  <w:szCs w:val="20"/>
                  <w:u w:val="single"/>
                </w:rPr>
                <w:t>bruno-1.borel@gendarmerie.interieur.gouv.fr</w:t>
              </w:r>
            </w:hyperlink>
          </w:p>
        </w:tc>
      </w:tr>
    </w:tbl>
    <w:p>
      <w:pPr>
        <w:pStyle w:val="normal1"/>
        <w:suppressAutoHyphens w:val="false"/>
        <w:jc w:val="both"/>
        <w:rPr>
          <w:rFonts w:ascii="Marianne" w:hAnsi="Marianne" w:eastAsia="Calibri" w:cs="Calibri"/>
          <w:sz w:val="20"/>
          <w:szCs w:val="20"/>
        </w:rPr>
      </w:pPr>
      <w:r>
        <w:rPr>
          <w:rFonts w:eastAsia="Calibri" w:cs="Calibri" w:ascii="Marianne" w:hAnsi="Marianne"/>
          <w:sz w:val="20"/>
          <w:szCs w:val="20"/>
        </w:rPr>
      </w:r>
    </w:p>
    <w:p>
      <w:pPr>
        <w:pStyle w:val="normal1"/>
        <w:suppressAutoHyphens w:val="false"/>
        <w:jc w:val="both"/>
        <w:rPr>
          <w:rFonts w:ascii="Marianne" w:hAnsi="Marianne" w:eastAsia="Calibri" w:cs="Calibri"/>
          <w:sz w:val="20"/>
          <w:szCs w:val="20"/>
        </w:rPr>
      </w:pPr>
      <w:r>
        <w:rPr>
          <w:rFonts w:eastAsia="Calibri" w:cs="Calibri" w:ascii="Marianne" w:hAnsi="Marianne"/>
          <w:sz w:val="20"/>
          <w:szCs w:val="20"/>
        </w:rPr>
      </w:r>
    </w:p>
    <w:tbl>
      <w:tblPr>
        <w:tblW w:w="10162" w:type="dxa"/>
        <w:jc w:val="center"/>
        <w:tblInd w:w="0" w:type="dxa"/>
        <w:tblLayout w:type="fixed"/>
        <w:tblCellMar>
          <w:top w:w="0" w:type="dxa"/>
          <w:left w:w="108" w:type="dxa"/>
          <w:bottom w:w="0" w:type="dxa"/>
          <w:right w:w="108" w:type="dxa"/>
        </w:tblCellMar>
      </w:tblPr>
      <w:tblGrid>
        <w:gridCol w:w="1650"/>
        <w:gridCol w:w="8511"/>
      </w:tblGrid>
      <w:tr>
        <w:trPr>
          <w:cantSplit w:val="true"/>
        </w:trPr>
        <w:tc>
          <w:tcPr>
            <w:tcW w:w="1650" w:type="dxa"/>
            <w:tcBorders>
              <w:top w:val="single" w:sz="4" w:space="0" w:color="000000"/>
              <w:left w:val="single" w:sz="4" w:space="0" w:color="000000"/>
              <w:bottom w:val="single" w:sz="4" w:space="0" w:color="000000"/>
              <w:right w:val="single" w:sz="4" w:space="0" w:color="000000"/>
            </w:tcBorders>
            <w:vAlign w:val="center"/>
          </w:tcPr>
          <w:p>
            <w:pPr>
              <w:pStyle w:val="normal1"/>
              <w:suppressAutoHyphens w:val="false"/>
              <w:ind w:hanging="0" w:left="72"/>
              <w:jc w:val="both"/>
              <w:rPr>
                <w:rFonts w:ascii="Marianne" w:hAnsi="Marianne" w:eastAsia="Calibri" w:cs="Calibri"/>
                <w:b/>
                <w:bCs/>
                <w:sz w:val="20"/>
                <w:szCs w:val="20"/>
              </w:rPr>
            </w:pPr>
            <w:r>
              <w:rPr>
                <w:rFonts w:eastAsia="Calibri" w:cs="Calibri" w:ascii="Marianne" w:hAnsi="Marianne"/>
                <w:b/>
                <w:bCs/>
                <w:sz w:val="20"/>
                <w:szCs w:val="20"/>
              </w:rPr>
              <w:t>Maîtrise</w:t>
            </w:r>
          </w:p>
          <w:p>
            <w:pPr>
              <w:pStyle w:val="normal1"/>
              <w:suppressAutoHyphens w:val="false"/>
              <w:ind w:hanging="0" w:left="72"/>
              <w:jc w:val="both"/>
              <w:rPr>
                <w:rFonts w:ascii="Marianne" w:hAnsi="Marianne" w:eastAsia="Calibri" w:cs="Calibri"/>
                <w:b/>
                <w:bCs/>
                <w:sz w:val="20"/>
                <w:szCs w:val="20"/>
              </w:rPr>
            </w:pPr>
            <w:r>
              <w:rPr>
                <w:rFonts w:eastAsia="Calibri" w:cs="Calibri" w:ascii="Marianne" w:hAnsi="Marianne"/>
                <w:b/>
                <w:bCs/>
                <w:sz w:val="20"/>
                <w:szCs w:val="20"/>
              </w:rPr>
              <w:t>d’Œuvre</w:t>
            </w:r>
          </w:p>
        </w:tc>
        <w:tc>
          <w:tcPr>
            <w:tcW w:w="8511" w:type="dxa"/>
            <w:tcBorders>
              <w:top w:val="single" w:sz="4" w:space="0" w:color="000000"/>
              <w:left w:val="single" w:sz="4" w:space="0" w:color="000000"/>
              <w:bottom w:val="single" w:sz="4" w:space="0" w:color="000000"/>
              <w:right w:val="single" w:sz="4" w:space="0" w:color="000000"/>
            </w:tcBorders>
            <w:vAlign w:val="center"/>
          </w:tcPr>
          <w:p>
            <w:pPr>
              <w:pStyle w:val="normal1"/>
              <w:keepNext w:val="true"/>
              <w:suppressAutoHyphens w:val="false"/>
              <w:spacing w:lineRule="auto" w:line="240" w:before="240" w:after="240"/>
              <w:jc w:val="both"/>
              <w:rPr>
                <w:rFonts w:ascii="Marianne" w:hAnsi="Marianne" w:eastAsia="Calibri" w:cs="Calibri"/>
                <w:sz w:val="20"/>
                <w:szCs w:val="20"/>
              </w:rPr>
            </w:pPr>
            <w:r>
              <w:rPr>
                <w:rFonts w:eastAsia="Calibri" w:cs="Calibri" w:ascii="Marianne" w:hAnsi="Marianne"/>
                <w:sz w:val="20"/>
                <w:szCs w:val="20"/>
              </w:rPr>
              <w:t>SAS D ARCHITECTURE ARCHIDSITEC  BET  DISTEC INGENIEURIE Responsable M Mathieu MORAND Responsable  pôle fluides  10 RUE BEAU DE ROCHAS 63110 BEAUMONT  06 76 51 11 02 missions de base Bâtiement</w:t>
            </w:r>
          </w:p>
        </w:tc>
      </w:tr>
      <w:tr>
        <w:trPr>
          <w:trHeight w:val="959" w:hRule="atLeast"/>
          <w:cantSplit w:val="true"/>
        </w:trPr>
        <w:tc>
          <w:tcPr>
            <w:tcW w:w="1650" w:type="dxa"/>
            <w:tcBorders>
              <w:top w:val="single" w:sz="4" w:space="0" w:color="000000"/>
              <w:left w:val="single" w:sz="4" w:space="0" w:color="000000"/>
              <w:bottom w:val="single" w:sz="4" w:space="0" w:color="000000"/>
              <w:right w:val="single" w:sz="4" w:space="0" w:color="000000"/>
            </w:tcBorders>
            <w:vAlign w:val="center"/>
          </w:tcPr>
          <w:p>
            <w:pPr>
              <w:pStyle w:val="normal1"/>
              <w:suppressAutoHyphens w:val="false"/>
              <w:ind w:hanging="0" w:left="72"/>
              <w:jc w:val="both"/>
              <w:rPr>
                <w:rFonts w:ascii="Marianne" w:hAnsi="Marianne"/>
                <w:b/>
                <w:bCs/>
                <w:sz w:val="20"/>
                <w:szCs w:val="20"/>
              </w:rPr>
            </w:pPr>
            <w:r>
              <w:rPr>
                <w:rFonts w:ascii="Marianne" w:hAnsi="Marianne"/>
                <w:b/>
                <w:bCs/>
                <w:sz w:val="20"/>
                <w:szCs w:val="20"/>
              </w:rPr>
              <w:t>Clause d’Insertion</w:t>
            </w:r>
          </w:p>
        </w:tc>
        <w:tc>
          <w:tcPr>
            <w:tcW w:w="8511" w:type="dxa"/>
            <w:tcBorders>
              <w:top w:val="single" w:sz="4" w:space="0" w:color="000000"/>
              <w:left w:val="single" w:sz="4" w:space="0" w:color="000000"/>
              <w:bottom w:val="single" w:sz="4" w:space="0" w:color="000000"/>
              <w:right w:val="single" w:sz="4" w:space="0" w:color="000000"/>
            </w:tcBorders>
          </w:tcPr>
          <w:p>
            <w:pPr>
              <w:pStyle w:val="normal1"/>
              <w:tabs>
                <w:tab w:val="clear" w:pos="720"/>
                <w:tab w:val="left" w:pos="2142" w:leader="none"/>
                <w:tab w:val="left" w:pos="4268" w:leader="none"/>
              </w:tabs>
              <w:suppressAutoHyphens w:val="false"/>
              <w:ind w:hanging="0" w:left="72"/>
              <w:jc w:val="both"/>
              <w:rPr>
                <w:rFonts w:ascii="Marianne" w:hAnsi="Marianne"/>
                <w:b/>
                <w:bCs/>
                <w:sz w:val="20"/>
                <w:szCs w:val="20"/>
              </w:rPr>
            </w:pPr>
            <w:r>
              <w:rPr>
                <w:rFonts w:ascii="Marianne" w:hAnsi="Marianne"/>
                <w:b/>
                <w:bCs/>
                <w:sz w:val="20"/>
                <w:szCs w:val="20"/>
              </w:rPr>
              <w:t>Mathieu VINCENT  – Maison de l’emploi et de la formation sud Ardèche</w:t>
            </w:r>
          </w:p>
          <w:p>
            <w:pPr>
              <w:pStyle w:val="normal1"/>
              <w:tabs>
                <w:tab w:val="clear" w:pos="720"/>
                <w:tab w:val="left" w:pos="2142" w:leader="none"/>
                <w:tab w:val="left" w:pos="4268" w:leader="none"/>
              </w:tabs>
              <w:suppressAutoHyphens w:val="false"/>
              <w:ind w:hanging="0" w:left="72"/>
              <w:jc w:val="both"/>
              <w:rPr>
                <w:rFonts w:ascii="Marianne" w:hAnsi="Marianne"/>
                <w:sz w:val="20"/>
                <w:szCs w:val="20"/>
              </w:rPr>
            </w:pPr>
            <w:r>
              <w:rPr>
                <w:rFonts w:ascii="Marianne" w:hAnsi="Marianne"/>
                <w:sz w:val="20"/>
                <w:szCs w:val="20"/>
              </w:rPr>
              <w:t>40 Chemin de la Fontaine de Cheyron 07200 AUBENAS</w:t>
            </w:r>
          </w:p>
          <w:p>
            <w:pPr>
              <w:pStyle w:val="normal1"/>
              <w:tabs>
                <w:tab w:val="clear" w:pos="720"/>
                <w:tab w:val="left" w:pos="2142" w:leader="none"/>
                <w:tab w:val="left" w:pos="4268" w:leader="none"/>
              </w:tabs>
              <w:suppressAutoHyphens w:val="false"/>
              <w:ind w:hanging="0" w:left="72"/>
              <w:jc w:val="both"/>
              <w:rPr>
                <w:rFonts w:ascii="Marianne" w:hAnsi="Marianne"/>
                <w:sz w:val="20"/>
                <w:szCs w:val="20"/>
              </w:rPr>
            </w:pPr>
            <w:r>
              <w:rPr>
                <w:rFonts w:ascii="Marianne" w:hAnsi="Marianne"/>
                <w:sz w:val="20"/>
                <w:szCs w:val="20"/>
              </w:rPr>
              <w:t xml:space="preserve">Tél : 06 49 17 81 44 – e-mail : </w:t>
            </w:r>
            <w:hyperlink r:id="rId4">
              <w:r>
                <w:rPr>
                  <w:rStyle w:val="Style"/>
                  <w:rFonts w:ascii="Marianne" w:hAnsi="Marianne"/>
                  <w:color w:val="1155CC"/>
                  <w:sz w:val="20"/>
                  <w:szCs w:val="20"/>
                  <w:u w:val="single"/>
                </w:rPr>
                <w:t>clauses@mdef-sudardeche.fr</w:t>
              </w:r>
            </w:hyperlink>
          </w:p>
        </w:tc>
      </w:tr>
    </w:tbl>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r>
    </w:p>
    <w:p>
      <w:pPr>
        <w:pStyle w:val="normal1"/>
        <w:suppressAutoHyphens w:val="false"/>
        <w:jc w:val="both"/>
        <w:rPr>
          <w:rFonts w:ascii="Marianne" w:hAnsi="Marianne" w:eastAsia="Calibri" w:cs="Calibri"/>
          <w:b/>
          <w:bCs/>
          <w:sz w:val="20"/>
          <w:szCs w:val="20"/>
          <w:u w:val="single"/>
        </w:rPr>
      </w:pPr>
      <w:r>
        <w:rPr>
          <w:rFonts w:eastAsia="Calibri" w:cs="Calibri" w:ascii="Marianne" w:hAnsi="Marianne"/>
          <w:b/>
          <w:bCs/>
          <w:sz w:val="20"/>
          <w:szCs w:val="20"/>
          <w:u w:val="single"/>
        </w:rPr>
        <w:t>TABLE DES MATIÈRES</w:t>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p>
    <w:p>
      <w:pPr>
        <w:pStyle w:val="normal1"/>
        <w:suppressAutoHyphens w:val="false"/>
        <w:jc w:val="both"/>
        <w:rPr>
          <w:rFonts w:ascii="Marianne" w:hAnsi="Marianne" w:eastAsia="Calibri" w:cs="Calibri"/>
          <w:sz w:val="20"/>
          <w:szCs w:val="20"/>
        </w:rPr>
      </w:pPr>
      <w:r>
        <w:rPr>
          <w:rFonts w:eastAsia="Calibri" w:cs="Calibri" w:ascii="Marianne" w:hAnsi="Marianne"/>
          <w:sz w:val="20"/>
          <w:szCs w:val="20"/>
        </w:rPr>
        <w:t xml:space="preserve">Dispositions relatives à l’insertion sociale </w:t>
      </w:r>
    </w:p>
    <w:sdt>
      <w:sdtPr>
        <w:docPartObj>
          <w:docPartGallery w:val="Table of Contents"/>
          <w:docPartUnique w:val="true"/>
        </w:docPartObj>
      </w:sdtPr>
      <w:sdtContent>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fldChar w:fldCharType="begin"/>
          </w:r>
          <w:r>
            <w:rPr>
              <w:smallCaps w:val="false"/>
              <w:caps w:val="false"/>
              <w:dstrike w:val="false"/>
              <w:strike w:val="false"/>
              <w:vertAlign w:val="baseline"/>
              <w:position w:val="0"/>
              <w:sz w:val="20"/>
              <w:sz w:val="20"/>
              <w:i/>
              <w:u w:val="none"/>
              <w:b/>
              <w:shd w:fill="auto" w:val="clear"/>
              <w:szCs w:val="20"/>
              <w:iCs/>
              <w:bCs/>
              <w:rFonts w:eastAsia="Times New Roman" w:cs="Times New Roman" w:ascii="Marianne" w:hAnsi="Marianne"/>
              <w:color w:val="000000"/>
            </w:rPr>
            <w:instrText xml:space="preserve"> TOC \o "1-9" \t "heading 1,1,heading 2,2,heading 3,3" \h</w:instrText>
          </w:r>
          <w:r>
            <w:rPr>
              <w:smallCaps w:val="false"/>
              <w:caps w:val="false"/>
              <w:dstrike w:val="false"/>
              <w:strike w:val="false"/>
              <w:vertAlign w:val="baseline"/>
              <w:position w:val="0"/>
              <w:sz w:val="20"/>
              <w:sz w:val="20"/>
              <w:i/>
              <w:u w:val="none"/>
              <w:b/>
              <w:shd w:fill="auto" w:val="clear"/>
              <w:szCs w:val="20"/>
              <w:iCs/>
              <w:bCs/>
              <w:rFonts w:eastAsia="Times New Roman" w:cs="Times New Roman" w:ascii="Marianne" w:hAnsi="Marianne"/>
              <w:color w:val="000000"/>
            </w:rPr>
            <w:fldChar w:fldCharType="separate"/>
          </w: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 xml:space="preserve">Article 1 - Objet </w:t>
            <w:tab/>
            <w:t>3</w:t>
          </w:r>
        </w:p>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 xml:space="preserve">Article 2 - Public Eligible à l'action d'insertion </w:t>
            <w:tab/>
            <w:t>3</w:t>
          </w:r>
        </w:p>
        <w:p>
          <w:pPr>
            <w:pStyle w:val="normal1"/>
            <w:keepNext w:val="false"/>
            <w:keepLines w:val="false"/>
            <w:pageBreakBefore w:val="false"/>
            <w:widowControl/>
            <w:tabs>
              <w:tab w:val="clear" w:pos="720"/>
              <w:tab w:val="right" w:pos="10206" w:leader="none"/>
            </w:tabs>
            <w:suppressAutoHyphens w:val="false"/>
            <w:spacing w:lineRule="auto" w:line="240" w:before="60" w:after="0"/>
            <w:ind w:hanging="0" w:left="0" w:right="0"/>
            <w:jc w:val="both"/>
            <w:rPr>
              <w:rFonts w:ascii="Marianne" w:hAnsi="Marianne"/>
              <w:sz w:val="20"/>
              <w:szCs w:val="20"/>
            </w:rPr>
          </w:pPr>
          <w:r>
            <w:rPr>
              <w:rFonts w:eastAsia="Times New Roman" w:cs="Times New Roman" w:ascii="Marianne" w:hAnsi="Marianne"/>
              <w:b/>
              <w:bCs/>
              <w:i w:val="false"/>
              <w:iCs w:val="false"/>
              <w:caps w:val="false"/>
              <w:smallCaps w:val="false"/>
              <w:strike w:val="false"/>
              <w:dstrike w:val="false"/>
              <w:color w:val="000000"/>
              <w:position w:val="0"/>
              <w:sz w:val="20"/>
              <w:sz w:val="20"/>
              <w:szCs w:val="20"/>
              <w:u w:val="none"/>
              <w:shd w:fill="auto" w:val="clear"/>
              <w:vertAlign w:val="baseline"/>
            </w:rPr>
            <w:t>Article 3 - Engagement d'insertion</w:t>
          </w: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w:t>
            <w:tab/>
            <w:t>3</w:t>
          </w:r>
        </w:p>
        <w:p>
          <w:pPr>
            <w:pStyle w:val="normal1"/>
            <w:keepNext w:val="false"/>
            <w:keepLines w:val="false"/>
            <w:pageBreakBefore w:val="false"/>
            <w:widowControl/>
            <w:tabs>
              <w:tab w:val="clear" w:pos="720"/>
              <w:tab w:val="left" w:pos="1276" w:leader="none"/>
              <w:tab w:val="right" w:pos="10206" w:leader="none"/>
            </w:tabs>
            <w:suppressAutoHyphens w:val="false"/>
            <w:spacing w:lineRule="auto" w:line="240" w:before="60" w:after="0"/>
            <w:ind w:hanging="567" w:left="1276"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3-1 Engagement de l'entreprise</w:t>
            <w:tab/>
            <w:t>3</w:t>
          </w:r>
        </w:p>
        <w:p>
          <w:pPr>
            <w:pStyle w:val="normal1"/>
            <w:keepNext w:val="false"/>
            <w:keepLines w:val="false"/>
            <w:pageBreakBefore w:val="false"/>
            <w:widowControl/>
            <w:tabs>
              <w:tab w:val="clear" w:pos="720"/>
              <w:tab w:val="left" w:pos="1276" w:leader="none"/>
              <w:tab w:val="right" w:pos="10206" w:leader="none"/>
            </w:tabs>
            <w:suppressAutoHyphens w:val="false"/>
            <w:spacing w:lineRule="auto" w:line="240" w:before="60" w:after="0"/>
            <w:ind w:hanging="567" w:left="1276"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3-2 Nombre d'heures d'insertion  </w:t>
            <w:tab/>
            <w:t>4</w:t>
          </w:r>
        </w:p>
        <w:p>
          <w:pPr>
            <w:pStyle w:val="normal1"/>
            <w:keepNext w:val="false"/>
            <w:keepLines w:val="false"/>
            <w:pageBreakBefore w:val="false"/>
            <w:widowControl/>
            <w:tabs>
              <w:tab w:val="clear" w:pos="720"/>
              <w:tab w:val="left" w:pos="1276" w:leader="none"/>
              <w:tab w:val="right" w:pos="10206" w:leader="none"/>
            </w:tabs>
            <w:suppressAutoHyphens w:val="false"/>
            <w:spacing w:lineRule="auto" w:line="240" w:before="60" w:after="0"/>
            <w:ind w:hanging="567" w:left="1276"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3-3 Globalisation des personnes entre marchés</w:t>
            <w:tab/>
            <w:t>4</w:t>
          </w:r>
        </w:p>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Article 4 - Modalités de mise en œuvre de l'action d'insertion professionnelle</w:t>
            <w:tab/>
            <w:t xml:space="preserve">4 </w:t>
          </w:r>
        </w:p>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Article 5 - L'Accompagnement de l'action d'insertion</w:t>
            <w:tab/>
            <w:t xml:space="preserve"> 5 </w:t>
          </w:r>
        </w:p>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Article 6 - Contrôle de l'action d'insertion</w:t>
            <w:tab/>
            <w:t xml:space="preserve">5 </w:t>
          </w:r>
        </w:p>
        <w:p>
          <w:pPr>
            <w:pStyle w:val="normal1"/>
            <w:keepNext w:val="false"/>
            <w:keepLines w:val="false"/>
            <w:pageBreakBefore w:val="false"/>
            <w:widowControl/>
            <w:tabs>
              <w:tab w:val="clear" w:pos="720"/>
              <w:tab w:val="right" w:pos="10206" w:leader="none"/>
            </w:tabs>
            <w:suppressAutoHyphens w:val="false"/>
            <w:spacing w:lineRule="auto" w:line="240" w:before="60" w:after="0"/>
            <w:ind w:hanging="0" w:left="0" w:right="0"/>
            <w:jc w:val="both"/>
            <w:rPr>
              <w:rFonts w:ascii="Marianne" w:hAnsi="Marianne"/>
              <w:sz w:val="20"/>
              <w:szCs w:val="20"/>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Article 7 - Pénalités</w:t>
          </w: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ab/>
            <w:t>6</w:t>
          </w:r>
        </w:p>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 xml:space="preserve">Article 8 - Résiliation </w:t>
            <w:tab/>
            <w:t>6</w:t>
          </w:r>
          <w:r>
            <w:rPr>
              <w:smallCaps w:val="false"/>
              <w:caps w:val="false"/>
              <w:dstrike w:val="false"/>
              <w:strike w:val="false"/>
              <w:vertAlign w:val="baseline"/>
              <w:position w:val="0"/>
              <w:sz w:val="20"/>
              <w:sz w:val="20"/>
              <w:i/>
              <w:u w:val="none"/>
              <w:b/>
              <w:shd w:fill="auto" w:val="clear"/>
              <w:szCs w:val="20"/>
              <w:iCs/>
              <w:bCs/>
              <w:rFonts w:eastAsia="Times New Roman" w:cs="Times New Roman" w:ascii="Marianne" w:hAnsi="Marianne"/>
              <w:color w:val="000000"/>
            </w:rPr>
            <w:fldChar w:fldCharType="end"/>
          </w:r>
        </w:p>
      </w:sdtContent>
    </w:sdt>
    <w:p>
      <w:pPr>
        <w:pStyle w:val="normal1"/>
        <w:keepNext w:val="false"/>
        <w:keepLines w:val="false"/>
        <w:pageBreakBefore w:val="false"/>
        <w:widowControl/>
        <w:tabs>
          <w:tab w:val="clear" w:pos="720"/>
          <w:tab w:val="left" w:pos="567" w:leader="none"/>
          <w:tab w:val="right" w:pos="10206" w:leader="none"/>
        </w:tabs>
        <w:suppressAutoHyphens w:val="false"/>
        <w:spacing w:lineRule="auto" w:line="240" w:before="120" w:after="0"/>
        <w:ind w:hanging="0" w:left="0" w:right="0"/>
        <w:jc w:val="both"/>
        <w:rPr>
          <w:rFonts w:ascii="Marianne" w:hAnsi="Marianne"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 xml:space="preserve"> </w:t>
      </w:r>
      <w:r>
        <w:rPr>
          <w:rFonts w:eastAsia="Times New Roman" w:cs="Times New Roman" w:ascii="Marianne" w:hAnsi="Marianne"/>
          <w:b/>
          <w:bCs/>
          <w:i/>
          <w:iCs/>
          <w:caps w:val="false"/>
          <w:smallCaps w:val="false"/>
          <w:strike w:val="false"/>
          <w:dstrike w:val="false"/>
          <w:color w:val="000000"/>
          <w:position w:val="0"/>
          <w:sz w:val="20"/>
          <w:sz w:val="20"/>
          <w:szCs w:val="20"/>
          <w:u w:val="none"/>
          <w:shd w:fill="auto" w:val="clear"/>
          <w:vertAlign w:val="baseline"/>
        </w:rPr>
        <w:t>Article 9 - Règlement général sur la protection des données (RGPD)</w:t>
        <w:tab/>
        <w:t xml:space="preserve">6 </w:t>
      </w:r>
    </w:p>
    <w:p>
      <w:pPr>
        <w:pStyle w:val="normal1"/>
        <w:suppressAutoHyphens w:val="false"/>
        <w:spacing w:lineRule="auto" w:line="360"/>
        <w:jc w:val="both"/>
        <w:rPr>
          <w:rFonts w:ascii="Marianne" w:hAnsi="Marianne" w:eastAsia="Calibri" w:cs="Calibri"/>
          <w:sz w:val="20"/>
          <w:szCs w:val="20"/>
          <w:shd w:fill="FFFF00" w:val="clear"/>
        </w:rPr>
      </w:pPr>
      <w:r>
        <w:rPr>
          <w:rFonts w:eastAsia="Calibri" w:cs="Calibri" w:ascii="Marianne" w:hAnsi="Marianne"/>
          <w:sz w:val="20"/>
          <w:szCs w:val="20"/>
          <w:shd w:fill="FFFF00" w:val="clear"/>
        </w:rPr>
      </w:r>
      <w:r>
        <w:br w:type="page"/>
      </w:r>
    </w:p>
    <w:p>
      <w:pPr>
        <w:pStyle w:val="normal1"/>
        <w:keepNext w:val="true"/>
        <w:keepLines/>
        <w:pBdr>
          <w:bottom w:val="single" w:sz="4" w:space="1" w:color="2B5258"/>
        </w:pBdr>
        <w:suppressAutoHyphens w:val="false"/>
        <w:spacing w:lineRule="auto" w:line="240" w:before="0" w:after="0"/>
        <w:jc w:val="both"/>
        <w:rPr>
          <w:rFonts w:ascii="Marianne" w:hAnsi="Marianne" w:eastAsia="Calibri" w:cs="Calibri"/>
          <w:b/>
          <w:bCs/>
          <w:smallCaps/>
          <w:sz w:val="20"/>
          <w:szCs w:val="20"/>
        </w:rPr>
      </w:pPr>
      <w:r>
        <w:rPr>
          <w:rFonts w:eastAsia="Calibri" w:cs="Calibri" w:ascii="Marianne" w:hAnsi="Marianne"/>
          <w:b/>
          <w:bCs/>
          <w:smallCaps/>
          <w:sz w:val="20"/>
          <w:szCs w:val="20"/>
        </w:rPr>
        <w:t>DISPOSITIONS RELATIVES À L'INSERTION SOCIALE</w:t>
      </w:r>
    </w:p>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ARTICLE 1 – OBJET</w:t>
      </w:r>
    </w:p>
    <w:p>
      <w:pPr>
        <w:pStyle w:val="normal1"/>
        <w:tabs>
          <w:tab w:val="clear" w:pos="720"/>
          <w:tab w:val="left" w:pos="4536" w:leader="none"/>
          <w:tab w:val="left" w:pos="5103" w:leader="none"/>
          <w:tab w:val="left" w:pos="7371" w:leader="none"/>
          <w:tab w:val="left" w:pos="9923" w:leader="none"/>
        </w:tabs>
        <w:suppressAutoHyphens w:val="false"/>
        <w:spacing w:before="57" w:after="57"/>
        <w:jc w:val="both"/>
        <w:rPr>
          <w:rFonts w:ascii="Marianne" w:hAnsi="Marianne"/>
          <w:sz w:val="20"/>
          <w:szCs w:val="20"/>
        </w:rPr>
      </w:pPr>
      <w:r>
        <w:rPr>
          <w:rFonts w:ascii="Marianne" w:hAnsi="Marianne"/>
          <w:sz w:val="20"/>
          <w:szCs w:val="20"/>
        </w:rPr>
        <w:t>Le Maître d’ouvrage, dans un souci de développement durable par la promotion de l’emploi et la lutte contre l’exclusion, a décidé de faire application des dispositions de l’article 20.1 (Travaux) « Clause d’insertion sociale » du CCAG applicable au présent marché, sous réserve des précisions et dérogations apportées par le présent CCIS.</w:t>
      </w:r>
    </w:p>
    <w:p>
      <w:pPr>
        <w:pStyle w:val="normal1"/>
        <w:suppressAutoHyphens w:val="false"/>
        <w:spacing w:before="57" w:after="57"/>
        <w:jc w:val="both"/>
        <w:rPr>
          <w:rFonts w:ascii="Marianne" w:hAnsi="Marianne"/>
          <w:sz w:val="20"/>
          <w:szCs w:val="20"/>
        </w:rPr>
      </w:pPr>
      <w:r>
        <w:rPr>
          <w:rFonts w:ascii="Marianne" w:hAnsi="Marianne"/>
          <w:sz w:val="20"/>
          <w:szCs w:val="20"/>
        </w:rPr>
        <w:t xml:space="preserve">L’action d’insertion consiste pour le titulaire du ou des lots concernés, à confier des heures de travail à des personnes rencontrant des difficultés sociales et/ou professionnelles. </w:t>
      </w:r>
    </w:p>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 xml:space="preserve">ARTICLE 2 – PUBLIC ÉLIGIBLE A L’ACTION D’INSERTION </w:t>
      </w:r>
    </w:p>
    <w:p>
      <w:pPr>
        <w:pStyle w:val="normal1"/>
        <w:suppressAutoHyphens w:val="false"/>
        <w:spacing w:before="57" w:after="57"/>
        <w:jc w:val="both"/>
        <w:rPr>
          <w:rFonts w:ascii="Marianne" w:hAnsi="Marianne"/>
          <w:sz w:val="20"/>
          <w:szCs w:val="20"/>
        </w:rPr>
      </w:pPr>
      <w:r>
        <w:rPr>
          <w:rFonts w:ascii="Marianne" w:hAnsi="Marianne"/>
          <w:sz w:val="20"/>
          <w:szCs w:val="20"/>
        </w:rPr>
        <w:t xml:space="preserve">L’éligibilité des publics doit être établie par le Facilitateur de la Maison de l’emploi et de la formation sud Ardèche, référente pour le Maître d’Ouvrage, </w:t>
      </w:r>
      <w:r>
        <w:rPr>
          <w:rFonts w:ascii="Marianne" w:hAnsi="Marianne"/>
          <w:b/>
          <w:bCs/>
          <w:sz w:val="20"/>
          <w:szCs w:val="20"/>
          <w:u w:val="single"/>
        </w:rPr>
        <w:t>préalablement</w:t>
      </w:r>
      <w:r>
        <w:rPr>
          <w:rFonts w:ascii="Marianne" w:hAnsi="Marianne"/>
          <w:sz w:val="20"/>
          <w:szCs w:val="20"/>
        </w:rPr>
        <w:t xml:space="preserve"> à la mise en œuvre du dispositif et à la réalisation des heures d’insertion. </w:t>
      </w:r>
    </w:p>
    <w:p>
      <w:pPr>
        <w:pStyle w:val="normal1"/>
        <w:tabs>
          <w:tab w:val="clear" w:pos="720"/>
          <w:tab w:val="left" w:pos="4536" w:leader="none"/>
          <w:tab w:val="left" w:pos="5103" w:leader="none"/>
          <w:tab w:val="left" w:pos="7371" w:leader="none"/>
          <w:tab w:val="left" w:pos="9923" w:leader="none"/>
        </w:tabs>
        <w:suppressAutoHyphens w:val="false"/>
        <w:spacing w:before="57" w:after="57"/>
        <w:jc w:val="both"/>
        <w:rPr>
          <w:rFonts w:ascii="Marianne" w:hAnsi="Marianne"/>
          <w:sz w:val="20"/>
          <w:szCs w:val="20"/>
        </w:rPr>
      </w:pPr>
      <w:r>
        <w:rPr>
          <w:rFonts w:ascii="Marianne" w:hAnsi="Marianne"/>
          <w:sz w:val="20"/>
          <w:szCs w:val="20"/>
        </w:rPr>
        <w:t>Les personnes concernées par l’action d’insertion professionnelle sont celles citées à l’article 20.1.1 du CCAG et par dérogation à l’article 20.1.1.1 du CCAG, les personnes visées au petit « e » doivent aussi relever d’une des catégories du 20.1.1.2.</w:t>
      </w:r>
    </w:p>
    <w:p>
      <w:pPr>
        <w:pStyle w:val="normal1"/>
        <w:tabs>
          <w:tab w:val="clear" w:pos="720"/>
          <w:tab w:val="left" w:pos="4536" w:leader="none"/>
          <w:tab w:val="left" w:pos="5103" w:leader="none"/>
          <w:tab w:val="left" w:pos="7371" w:leader="none"/>
          <w:tab w:val="left" w:pos="9923" w:leader="none"/>
        </w:tabs>
        <w:suppressAutoHyphens w:val="false"/>
        <w:spacing w:before="57" w:after="57"/>
        <w:jc w:val="both"/>
        <w:rPr>
          <w:rFonts w:ascii="Marianne" w:hAnsi="Marianne"/>
          <w:sz w:val="20"/>
          <w:szCs w:val="20"/>
        </w:rPr>
      </w:pPr>
      <w:r>
        <w:rPr>
          <w:rFonts w:ascii="Marianne" w:hAnsi="Marianne"/>
          <w:sz w:val="20"/>
          <w:szCs w:val="20"/>
        </w:rPr>
        <w:t>L’éligibilité des personnes aux clauses sociales est d’une durée maximale de 2 ans à compter de la date du premier contrat.</w:t>
      </w:r>
    </w:p>
    <w:p>
      <w:pPr>
        <w:pStyle w:val="normal1"/>
        <w:tabs>
          <w:tab w:val="clear" w:pos="720"/>
          <w:tab w:val="left" w:pos="4536" w:leader="none"/>
          <w:tab w:val="left" w:pos="5103" w:leader="none"/>
          <w:tab w:val="left" w:pos="7371" w:leader="none"/>
          <w:tab w:val="left" w:pos="9923" w:leader="none"/>
        </w:tabs>
        <w:suppressAutoHyphens w:val="false"/>
        <w:spacing w:before="57" w:after="57"/>
        <w:jc w:val="both"/>
        <w:rPr>
          <w:rFonts w:ascii="Marianne" w:hAnsi="Marianne"/>
          <w:sz w:val="20"/>
          <w:szCs w:val="20"/>
        </w:rPr>
      </w:pPr>
      <w:r>
        <w:rPr>
          <w:rFonts w:ascii="Marianne" w:hAnsi="Marianne"/>
          <w:sz w:val="20"/>
          <w:szCs w:val="20"/>
        </w:rPr>
        <w:t>Cette durée est portée à 3 ans si le contrat de travail, initialement à durée limitée (intérim ou CDD) est transformé en CDI, ou sa mise à disposition en intérim se poursuit en contrat d’alternance ou en CDI, dans la même entreprise.</w:t>
      </w:r>
    </w:p>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ARTICLE 3 – ENGAGEMENT D’INSERTION</w:t>
      </w:r>
    </w:p>
    <w:p>
      <w:pPr>
        <w:pStyle w:val="normal1"/>
        <w:suppressAutoHyphens w:val="false"/>
        <w:spacing w:lineRule="auto" w:line="240" w:before="57" w:after="57"/>
        <w:ind w:firstLine="284"/>
        <w:jc w:val="both"/>
        <w:rPr>
          <w:rFonts w:ascii="Marianne" w:hAnsi="Marianne"/>
          <w:sz w:val="20"/>
          <w:szCs w:val="20"/>
        </w:rPr>
      </w:pPr>
      <w:r>
        <w:rPr>
          <w:rFonts w:ascii="Marianne" w:hAnsi="Marianne"/>
          <w:b/>
          <w:bCs/>
          <w:sz w:val="20"/>
          <w:szCs w:val="20"/>
        </w:rPr>
        <w:t xml:space="preserve">3.1 </w:t>
      </w:r>
      <w:r>
        <w:rPr>
          <w:rFonts w:ascii="Marianne" w:hAnsi="Marianne"/>
          <w:b/>
          <w:bCs/>
          <w:sz w:val="20"/>
          <w:szCs w:val="20"/>
          <w:u w:val="single"/>
        </w:rPr>
        <w:t>Engagement de l’entreprise</w:t>
      </w:r>
    </w:p>
    <w:p>
      <w:pPr>
        <w:pStyle w:val="normal1"/>
        <w:suppressAutoHyphens w:val="false"/>
        <w:spacing w:lineRule="auto" w:line="240" w:before="57" w:after="57"/>
        <w:ind w:hanging="0" w:left="709"/>
        <w:jc w:val="both"/>
        <w:rPr>
          <w:rFonts w:ascii="Marianne" w:hAnsi="Marianne"/>
          <w:sz w:val="20"/>
          <w:szCs w:val="20"/>
        </w:rPr>
      </w:pPr>
      <w:bookmarkStart w:id="0" w:name="_heading=h.vwk4t0ord9yf"/>
      <w:bookmarkEnd w:id="0"/>
      <w:r>
        <w:rPr>
          <w:rFonts w:ascii="Marianne" w:hAnsi="Marianne"/>
          <w:sz w:val="20"/>
          <w:szCs w:val="20"/>
        </w:rPr>
        <w:t>Pour le marché défini à l’article 3-2 du présent cahier des charges d’insertion sociale, les entreprises qui soumissionnent s’engagent à réaliser une action d’insertion professionnelle de personnes rencontrant des difficultés sociales ou professionnelles particulières.</w:t>
      </w:r>
    </w:p>
    <w:p>
      <w:pPr>
        <w:pStyle w:val="normal1"/>
        <w:suppressAutoHyphens w:val="false"/>
        <w:spacing w:lineRule="auto" w:line="240" w:before="57" w:after="57"/>
        <w:ind w:firstLine="284"/>
        <w:jc w:val="both"/>
        <w:rPr>
          <w:rFonts w:ascii="Marianne" w:hAnsi="Marianne"/>
          <w:sz w:val="20"/>
          <w:szCs w:val="20"/>
        </w:rPr>
      </w:pPr>
      <w:r>
        <w:rPr>
          <w:rFonts w:ascii="Marianne" w:hAnsi="Marianne"/>
          <w:b/>
          <w:bCs/>
          <w:sz w:val="20"/>
          <w:szCs w:val="20"/>
        </w:rPr>
        <w:t xml:space="preserve">3.2 </w:t>
      </w:r>
      <w:r>
        <w:rPr>
          <w:rFonts w:ascii="Marianne" w:hAnsi="Marianne"/>
          <w:b/>
          <w:bCs/>
          <w:sz w:val="20"/>
          <w:szCs w:val="20"/>
          <w:u w:val="single"/>
        </w:rPr>
        <w:t>Nombre d’heures d’insertion</w:t>
      </w:r>
      <w:r>
        <w:rPr>
          <w:rFonts w:ascii="Marianne" w:hAnsi="Marianne"/>
          <w:b/>
          <w:bCs/>
          <w:sz w:val="20"/>
          <w:szCs w:val="20"/>
        </w:rPr>
        <w:t> : 2 lots clausés sur 2</w:t>
      </w:r>
    </w:p>
    <w:tbl>
      <w:tblPr>
        <w:tblW w:w="10163" w:type="dxa"/>
        <w:jc w:val="left"/>
        <w:tblInd w:w="48" w:type="dxa"/>
        <w:tblLayout w:type="fixed"/>
        <w:tblCellMar>
          <w:top w:w="0" w:type="dxa"/>
          <w:left w:w="108" w:type="dxa"/>
          <w:bottom w:w="0" w:type="dxa"/>
          <w:right w:w="108" w:type="dxa"/>
        </w:tblCellMar>
      </w:tblPr>
      <w:tblGrid>
        <w:gridCol w:w="847"/>
        <w:gridCol w:w="4627"/>
        <w:gridCol w:w="1300"/>
        <w:gridCol w:w="3388"/>
      </w:tblGrid>
      <w:tr>
        <w:trPr>
          <w:cantSplit w:val="true"/>
        </w:trPr>
        <w:tc>
          <w:tcPr>
            <w:tcW w:w="847" w:type="dxa"/>
            <w:tcBorders>
              <w:top w:val="single" w:sz="4" w:space="0" w:color="000000"/>
              <w:left w:val="single" w:sz="6" w:space="0" w:color="000000"/>
              <w:bottom w:val="single" w:sz="6" w:space="0" w:color="000000"/>
              <w:right w:val="single" w:sz="6"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N° Lot</w:t>
            </w:r>
          </w:p>
        </w:tc>
        <w:tc>
          <w:tcPr>
            <w:tcW w:w="4627" w:type="dxa"/>
            <w:tcBorders>
              <w:top w:val="single" w:sz="4" w:space="0" w:color="000000"/>
              <w:left w:val="single" w:sz="6" w:space="0" w:color="000000"/>
              <w:bottom w:val="single" w:sz="6" w:space="0" w:color="000000"/>
              <w:right w:val="single" w:sz="6"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Libellé</w:t>
            </w:r>
          </w:p>
        </w:tc>
        <w:tc>
          <w:tcPr>
            <w:tcW w:w="1300" w:type="dxa"/>
            <w:tcBorders>
              <w:top w:val="single" w:sz="4" w:space="0" w:color="000000"/>
              <w:left w:val="single" w:sz="6" w:space="0" w:color="000000"/>
              <w:bottom w:val="single" w:sz="6" w:space="0" w:color="000000"/>
              <w:right w:val="single" w:sz="4" w:space="0" w:color="000000"/>
            </w:tcBorders>
          </w:tcPr>
          <w:p>
            <w:pPr>
              <w:pStyle w:val="normal1"/>
              <w:suppressAutoHyphens w:val="false"/>
              <w:jc w:val="center"/>
              <w:rPr>
                <w:rFonts w:ascii="Marianne" w:hAnsi="Marianne"/>
                <w:b/>
                <w:bCs/>
                <w:sz w:val="20"/>
                <w:szCs w:val="20"/>
              </w:rPr>
            </w:pPr>
            <w:r>
              <w:rPr>
                <w:rFonts w:ascii="Marianne" w:hAnsi="Marianne"/>
                <w:b/>
                <w:bCs/>
                <w:sz w:val="20"/>
                <w:szCs w:val="20"/>
              </w:rPr>
              <w:t>Nombre d’heures imposées</w:t>
            </w:r>
          </w:p>
        </w:tc>
        <w:tc>
          <w:tcPr>
            <w:tcW w:w="3388" w:type="dxa"/>
            <w:tcBorders>
              <w:top w:val="single" w:sz="4" w:space="0" w:color="000000"/>
              <w:left w:val="single" w:sz="6" w:space="0" w:color="000000"/>
              <w:bottom w:val="single" w:sz="6" w:space="0" w:color="000000"/>
              <w:right w:val="single" w:sz="4" w:space="0" w:color="000000"/>
            </w:tcBorders>
          </w:tcPr>
          <w:p>
            <w:pPr>
              <w:pStyle w:val="normal1"/>
              <w:suppressAutoHyphens w:val="false"/>
              <w:jc w:val="center"/>
              <w:rPr>
                <w:rFonts w:ascii="Marianne" w:hAnsi="Marianne"/>
                <w:sz w:val="20"/>
                <w:szCs w:val="20"/>
              </w:rPr>
            </w:pPr>
            <w:r>
              <w:rPr>
                <w:rFonts w:ascii="Marianne" w:hAnsi="Marianne"/>
                <w:sz w:val="20"/>
                <w:szCs w:val="20"/>
              </w:rPr>
              <w:t xml:space="preserve">Equivalent </w:t>
            </w:r>
            <w:r>
              <w:rPr>
                <w:rFonts w:ascii="Marianne" w:hAnsi="Marianne"/>
                <w:sz w:val="20"/>
                <w:szCs w:val="20"/>
                <w:u w:val="single"/>
              </w:rPr>
              <w:t>à titre indicatif</w:t>
            </w:r>
            <w:r>
              <w:rPr>
                <w:rFonts w:ascii="Marianne" w:hAnsi="Marianne"/>
                <w:sz w:val="20"/>
                <w:szCs w:val="20"/>
              </w:rPr>
              <w:t xml:space="preserve"> temps plein/jours ouvrés, semaines ou mois (base 35 h)</w:t>
            </w:r>
          </w:p>
        </w:tc>
      </w:tr>
      <w:tr>
        <w:trPr>
          <w:trHeight w:val="510" w:hRule="atLeast"/>
          <w:cantSplit w:val="true"/>
        </w:trPr>
        <w:tc>
          <w:tcPr>
            <w:tcW w:w="847" w:type="dxa"/>
            <w:tcBorders>
              <w:top w:val="single" w:sz="6" w:space="0" w:color="000000"/>
              <w:left w:val="single" w:sz="6" w:space="0" w:color="000000"/>
              <w:bottom w:val="single" w:sz="6" w:space="0" w:color="000000"/>
              <w:right w:val="single" w:sz="6" w:space="0" w:color="000000"/>
            </w:tcBorders>
            <w:shd w:fill="FFFFFF" w:val="clear"/>
            <w:tcMar>
              <w:top w:w="40" w:type="dxa"/>
              <w:left w:w="40" w:type="dxa"/>
              <w:bottom w:w="40" w:type="dxa"/>
              <w:right w:w="40" w:type="dxa"/>
            </w:tcMar>
            <w:vAlign w:val="bottom"/>
          </w:tcPr>
          <w:p>
            <w:pPr>
              <w:pStyle w:val="normal1"/>
              <w:widowControl w:val="false"/>
              <w:suppressAutoHyphens w:val="false"/>
              <w:spacing w:lineRule="auto" w:line="276"/>
              <w:jc w:val="both"/>
              <w:rPr>
                <w:rFonts w:ascii="Marianne" w:hAnsi="Marianne"/>
                <w:sz w:val="20"/>
                <w:szCs w:val="20"/>
              </w:rPr>
            </w:pPr>
            <w:r>
              <w:rPr>
                <w:rFonts w:ascii="Marianne" w:hAnsi="Marianne"/>
                <w:sz w:val="20"/>
                <w:szCs w:val="20"/>
              </w:rPr>
              <w:t>Lot 1</w:t>
            </w:r>
          </w:p>
        </w:tc>
        <w:tc>
          <w:tcPr>
            <w:tcW w:w="4627" w:type="dxa"/>
            <w:tcBorders>
              <w:top w:val="single" w:sz="6" w:space="0" w:color="000000"/>
              <w:left w:val="single" w:sz="6" w:space="0" w:color="000000"/>
              <w:bottom w:val="single" w:sz="6" w:space="0" w:color="000000"/>
              <w:right w:val="single" w:sz="6" w:space="0" w:color="000000"/>
            </w:tcBorders>
            <w:shd w:fill="FFFFFF" w:val="clear"/>
            <w:tcMar>
              <w:top w:w="40" w:type="dxa"/>
              <w:left w:w="40" w:type="dxa"/>
              <w:bottom w:w="40" w:type="dxa"/>
              <w:right w:w="40" w:type="dxa"/>
            </w:tcMar>
            <w:vAlign w:val="bottom"/>
          </w:tcPr>
          <w:p>
            <w:pPr>
              <w:pStyle w:val="normal1"/>
              <w:widowControl w:val="false"/>
              <w:suppressAutoHyphens w:val="false"/>
              <w:spacing w:lineRule="auto" w:line="276"/>
              <w:jc w:val="both"/>
              <w:rPr>
                <w:rFonts w:ascii="Marianne" w:hAnsi="Marianne" w:eastAsia="Arial" w:cs="Arial"/>
                <w:sz w:val="20"/>
                <w:szCs w:val="20"/>
              </w:rPr>
            </w:pPr>
            <w:r>
              <w:rPr>
                <w:rFonts w:eastAsia="Arial" w:cs="Arial" w:ascii="Marianne" w:hAnsi="Marianne"/>
                <w:sz w:val="20"/>
                <w:szCs w:val="20"/>
              </w:rPr>
              <w:t>VRD / GROS OEUVRE</w:t>
            </w:r>
          </w:p>
        </w:tc>
        <w:tc>
          <w:tcPr>
            <w:tcW w:w="1300"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70h</w:t>
            </w:r>
          </w:p>
        </w:tc>
        <w:tc>
          <w:tcPr>
            <w:tcW w:w="3388"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2 semaines</w:t>
            </w:r>
          </w:p>
        </w:tc>
      </w:tr>
      <w:tr>
        <w:trPr>
          <w:trHeight w:val="510" w:hRule="atLeast"/>
          <w:cantSplit w:val="true"/>
        </w:trPr>
        <w:tc>
          <w:tcPr>
            <w:tcW w:w="847" w:type="dxa"/>
            <w:tcBorders>
              <w:top w:val="single" w:sz="6" w:space="0" w:color="000000"/>
              <w:left w:val="single" w:sz="6" w:space="0" w:color="000000"/>
              <w:bottom w:val="single" w:sz="6" w:space="0" w:color="000000"/>
              <w:right w:val="single" w:sz="6" w:space="0" w:color="000000"/>
            </w:tcBorders>
            <w:shd w:fill="FFFFFF" w:val="clear"/>
            <w:tcMar>
              <w:top w:w="40" w:type="dxa"/>
              <w:left w:w="40" w:type="dxa"/>
              <w:bottom w:w="40" w:type="dxa"/>
              <w:right w:w="40" w:type="dxa"/>
            </w:tcMar>
            <w:vAlign w:val="bottom"/>
          </w:tcPr>
          <w:p>
            <w:pPr>
              <w:pStyle w:val="normal1"/>
              <w:widowControl w:val="false"/>
              <w:suppressAutoHyphens w:val="false"/>
              <w:spacing w:lineRule="auto" w:line="276"/>
              <w:jc w:val="both"/>
              <w:rPr>
                <w:rFonts w:ascii="Marianne" w:hAnsi="Marianne"/>
                <w:sz w:val="20"/>
                <w:szCs w:val="20"/>
              </w:rPr>
            </w:pPr>
            <w:r>
              <w:rPr>
                <w:rFonts w:ascii="Marianne" w:hAnsi="Marianne"/>
                <w:sz w:val="20"/>
                <w:szCs w:val="20"/>
              </w:rPr>
              <w:t>Lot 2</w:t>
            </w:r>
          </w:p>
        </w:tc>
        <w:tc>
          <w:tcPr>
            <w:tcW w:w="4627" w:type="dxa"/>
            <w:tcBorders>
              <w:top w:val="single" w:sz="6" w:space="0" w:color="000000"/>
              <w:left w:val="single" w:sz="6" w:space="0" w:color="000000"/>
              <w:bottom w:val="single" w:sz="6" w:space="0" w:color="000000"/>
              <w:right w:val="single" w:sz="6" w:space="0" w:color="000000"/>
            </w:tcBorders>
            <w:shd w:fill="FFFFFF" w:val="clear"/>
            <w:tcMar>
              <w:top w:w="40" w:type="dxa"/>
              <w:left w:w="40" w:type="dxa"/>
              <w:bottom w:w="40" w:type="dxa"/>
              <w:right w:w="40" w:type="dxa"/>
            </w:tcMar>
            <w:vAlign w:val="bottom"/>
          </w:tcPr>
          <w:p>
            <w:pPr>
              <w:pStyle w:val="normal1"/>
              <w:widowControl w:val="false"/>
              <w:suppressAutoHyphens w:val="false"/>
              <w:spacing w:lineRule="auto" w:line="276"/>
              <w:jc w:val="both"/>
              <w:rPr>
                <w:rFonts w:ascii="Marianne" w:hAnsi="Marianne" w:eastAsia="Arial" w:cs="Arial"/>
                <w:sz w:val="20"/>
                <w:szCs w:val="20"/>
              </w:rPr>
            </w:pPr>
            <w:r>
              <w:rPr>
                <w:rFonts w:eastAsia="Arial" w:cs="Arial" w:ascii="Marianne" w:hAnsi="Marianne"/>
                <w:sz w:val="20"/>
                <w:szCs w:val="20"/>
              </w:rPr>
              <w:t>CVC : Chauffage, Ventilation, Climatisation</w:t>
            </w:r>
          </w:p>
        </w:tc>
        <w:tc>
          <w:tcPr>
            <w:tcW w:w="1300"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210h</w:t>
            </w:r>
          </w:p>
        </w:tc>
        <w:tc>
          <w:tcPr>
            <w:tcW w:w="3388"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sz w:val="20"/>
                <w:szCs w:val="20"/>
              </w:rPr>
            </w:pPr>
            <w:r>
              <w:rPr>
                <w:rFonts w:ascii="Marianne" w:hAnsi="Marianne"/>
                <w:sz w:val="20"/>
                <w:szCs w:val="20"/>
              </w:rPr>
              <w:t>6 semaine</w:t>
            </w:r>
          </w:p>
        </w:tc>
      </w:tr>
      <w:tr>
        <w:trPr>
          <w:trHeight w:val="403" w:hRule="atLeast"/>
          <w:cantSplit w:val="true"/>
        </w:trPr>
        <w:tc>
          <w:tcPr>
            <w:tcW w:w="5474" w:type="dxa"/>
            <w:gridSpan w:val="2"/>
            <w:tcBorders>
              <w:top w:val="single" w:sz="6" w:space="0" w:color="000000"/>
              <w:left w:val="single" w:sz="6" w:space="0" w:color="000000"/>
              <w:bottom w:val="single" w:sz="6" w:space="0" w:color="000000"/>
              <w:right w:val="single" w:sz="6" w:space="0" w:color="000000"/>
            </w:tcBorders>
            <w:vAlign w:val="center"/>
          </w:tcPr>
          <w:p>
            <w:pPr>
              <w:pStyle w:val="normal1"/>
              <w:suppressAutoHyphens w:val="false"/>
              <w:jc w:val="both"/>
              <w:rPr>
                <w:rFonts w:ascii="Marianne" w:hAnsi="Marianne"/>
                <w:b/>
                <w:bCs/>
                <w:sz w:val="20"/>
                <w:szCs w:val="20"/>
              </w:rPr>
            </w:pPr>
            <w:r>
              <w:rPr>
                <w:rFonts w:ascii="Marianne" w:hAnsi="Marianne"/>
                <w:b/>
                <w:bCs/>
                <w:sz w:val="20"/>
                <w:szCs w:val="20"/>
              </w:rPr>
              <w:t>TOTAL</w:t>
            </w:r>
          </w:p>
        </w:tc>
        <w:tc>
          <w:tcPr>
            <w:tcW w:w="1300"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b/>
                <w:bCs/>
                <w:sz w:val="20"/>
                <w:szCs w:val="20"/>
              </w:rPr>
            </w:pPr>
            <w:r>
              <w:rPr>
                <w:rFonts w:ascii="Marianne" w:hAnsi="Marianne"/>
                <w:b/>
                <w:bCs/>
                <w:sz w:val="20"/>
                <w:szCs w:val="20"/>
              </w:rPr>
              <w:t>280h</w:t>
            </w:r>
          </w:p>
        </w:tc>
        <w:tc>
          <w:tcPr>
            <w:tcW w:w="3388"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center"/>
              <w:rPr>
                <w:rFonts w:ascii="Marianne" w:hAnsi="Marianne"/>
                <w:b/>
                <w:bCs/>
                <w:sz w:val="20"/>
                <w:szCs w:val="20"/>
              </w:rPr>
            </w:pPr>
            <w:r>
              <w:rPr>
                <w:rFonts w:ascii="Marianne" w:hAnsi="Marianne"/>
                <w:b/>
                <w:bCs/>
                <w:sz w:val="20"/>
                <w:szCs w:val="20"/>
              </w:rPr>
              <w:t>8 semaines</w:t>
            </w:r>
          </w:p>
        </w:tc>
      </w:tr>
    </w:tbl>
    <w:p>
      <w:pPr>
        <w:pStyle w:val="normal1"/>
        <w:suppressAutoHyphens w:val="false"/>
        <w:spacing w:lineRule="auto" w:line="240" w:before="0" w:after="0"/>
        <w:ind w:firstLine="284"/>
        <w:jc w:val="both"/>
        <w:rPr>
          <w:rFonts w:ascii="Marianne" w:hAnsi="Marianne"/>
          <w:sz w:val="20"/>
          <w:szCs w:val="20"/>
        </w:rPr>
      </w:pPr>
      <w:r>
        <w:rPr>
          <w:rFonts w:ascii="Marianne" w:hAnsi="Marianne"/>
          <w:b/>
          <w:bCs/>
          <w:sz w:val="20"/>
          <w:szCs w:val="20"/>
        </w:rPr>
        <w:t>3.3</w:t>
      </w:r>
      <w:r>
        <w:rPr>
          <w:rFonts w:ascii="Marianne" w:hAnsi="Marianne"/>
          <w:b/>
          <w:bCs/>
          <w:i/>
          <w:iCs/>
          <w:sz w:val="20"/>
          <w:szCs w:val="20"/>
        </w:rPr>
        <w:t xml:space="preserve"> </w:t>
      </w:r>
      <w:r>
        <w:rPr>
          <w:rFonts w:ascii="Marianne" w:hAnsi="Marianne"/>
          <w:b/>
          <w:bCs/>
          <w:sz w:val="20"/>
          <w:szCs w:val="20"/>
          <w:u w:val="single"/>
        </w:rPr>
        <w:t xml:space="preserve">Globalisation des personnes entre marchés </w:t>
      </w:r>
    </w:p>
    <w:p>
      <w:pPr>
        <w:pStyle w:val="normal1"/>
        <w:keepNext w:val="false"/>
        <w:keepLines w:val="false"/>
        <w:pageBreakBefore w:val="false"/>
        <w:widowControl/>
        <w:suppressAutoHyphens w:val="false"/>
        <w:spacing w:lineRule="auto" w:line="240" w:before="0" w:after="0"/>
        <w:ind w:hanging="0" w:left="709"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Une entreprise ayant plusieurs marchés avec clause d’insertion, peut, sous réserve de l’accord par la Facilitatrice de la Maison de l’emploi et de la formation sud Ardèche, valoriser la même personne et l’affecter indifféremment à l’un ou l’autre des marchés suivis par celle-ci. Ceci afin d’améliorer son parcours d’accès à l’emploi.</w:t>
      </w:r>
    </w:p>
    <w:p>
      <w:pPr>
        <w:pStyle w:val="normal1"/>
        <w:pageBreakBefore w:val="false"/>
        <w:suppressAutoHyphens w:val="false"/>
        <w:spacing w:lineRule="auto" w:line="240" w:before="57" w:after="57"/>
        <w:jc w:val="both"/>
        <w:rPr>
          <w:rFonts w:ascii="Marianne" w:hAnsi="Marianne" w:eastAsia="Trebuchet MS" w:cs="Trebuchet MS"/>
          <w:b/>
          <w:bCs/>
          <w:color w:val="ED7D31"/>
          <w:sz w:val="20"/>
          <w:szCs w:val="20"/>
        </w:rPr>
      </w:pPr>
      <w:bookmarkStart w:id="1" w:name="_heading=h.ssm9eap1sl9i"/>
      <w:bookmarkEnd w:id="1"/>
      <w:r>
        <w:rPr>
          <w:rFonts w:eastAsia="Trebuchet MS" w:cs="Trebuchet MS" w:ascii="Marianne" w:hAnsi="Marianne"/>
          <w:b/>
          <w:bCs/>
          <w:color w:val="ED7D31"/>
          <w:sz w:val="20"/>
          <w:szCs w:val="20"/>
        </w:rPr>
        <w:t>ARTICLE 4 – MODALITÉS DE MISE EN ŒUVRE DE L’ACTION D’INSERTION PROFESSIONNELLE</w:t>
      </w:r>
    </w:p>
    <w:p>
      <w:pPr>
        <w:pStyle w:val="normal1"/>
        <w:suppressAutoHyphens w:val="false"/>
        <w:spacing w:lineRule="auto" w:line="240" w:before="57" w:after="57"/>
        <w:jc w:val="both"/>
        <w:rPr>
          <w:rFonts w:ascii="Marianne" w:hAnsi="Marianne"/>
          <w:sz w:val="20"/>
          <w:szCs w:val="20"/>
        </w:rPr>
      </w:pPr>
      <w:r>
        <w:rPr>
          <w:rFonts w:ascii="Marianne" w:hAnsi="Marianne"/>
          <w:b/>
          <w:bCs/>
          <w:sz w:val="20"/>
          <w:szCs w:val="20"/>
        </w:rPr>
        <w:t>Dans un délai d’un mois à compter de la notification du marché, l’entreprise titulaire précisera les modalités retenues pour l’action d’insertion professionnelle au facilitateur des clauses de la Maison de l’Emploi et de la formation sud Ardèche, chargé par le Maître d’Ouvrage de valider les candidatures et du suivi de la mise en œuvre de l’insertion (art.5) ainsi que du bilan.</w:t>
      </w:r>
      <w:r>
        <w:rPr>
          <w:rFonts w:eastAsia="Trebuchet MS" w:cs="Trebuchet MS" w:ascii="Marianne" w:hAnsi="Marianne"/>
          <w:sz w:val="20"/>
          <w:szCs w:val="20"/>
        </w:rPr>
        <w:t xml:space="preserve"> </w:t>
      </w:r>
      <w:r>
        <w:rPr>
          <w:rFonts w:ascii="Marianne" w:hAnsi="Marianne"/>
          <w:b/>
          <w:bCs/>
          <w:sz w:val="20"/>
          <w:szCs w:val="20"/>
        </w:rPr>
        <w:t>Une réunion de mise au point de l’action d’insertion peut être prévue par l’acheteur.</w:t>
      </w:r>
    </w:p>
    <w:p>
      <w:pPr>
        <w:pStyle w:val="normal1"/>
        <w:suppressAutoHyphens w:val="false"/>
        <w:spacing w:lineRule="auto" w:line="240" w:before="57" w:after="57"/>
        <w:jc w:val="both"/>
        <w:rPr>
          <w:rFonts w:ascii="Marianne" w:hAnsi="Marianne"/>
          <w:sz w:val="20"/>
          <w:szCs w:val="20"/>
        </w:rPr>
      </w:pPr>
      <w:r>
        <w:rPr>
          <w:rFonts w:ascii="Marianne" w:hAnsi="Marianne"/>
          <w:sz w:val="20"/>
          <w:szCs w:val="20"/>
        </w:rPr>
        <w:t xml:space="preserve">L'action d'insertion professionnelle peut être mise en œuvre par le titulaire selon une ou plusieurs des modalités suivantes (plus de précisions au CCAG) : </w:t>
      </w:r>
    </w:p>
    <w:p>
      <w:pPr>
        <w:pStyle w:val="normal1"/>
        <w:suppressAutoHyphens w:val="false"/>
        <w:spacing w:lineRule="auto" w:line="240" w:before="57" w:after="57"/>
        <w:jc w:val="both"/>
        <w:rPr>
          <w:rFonts w:ascii="Marianne" w:hAnsi="Marianne"/>
          <w:sz w:val="20"/>
          <w:szCs w:val="20"/>
        </w:rPr>
      </w:pPr>
      <w:r>
        <w:rPr>
          <w:rFonts w:ascii="Marianne" w:hAnsi="Marianne"/>
          <w:sz w:val="20"/>
          <w:szCs w:val="20"/>
        </w:rPr>
      </w:r>
    </w:p>
    <w:p>
      <w:pPr>
        <w:pStyle w:val="normal1"/>
        <w:suppressAutoHyphens w:val="false"/>
        <w:spacing w:lineRule="auto" w:line="240" w:before="57" w:after="57"/>
        <w:jc w:val="both"/>
        <w:rPr>
          <w:rFonts w:ascii="Marianne" w:hAnsi="Marianne"/>
          <w:sz w:val="20"/>
          <w:szCs w:val="20"/>
        </w:rPr>
      </w:pPr>
      <w:r>
        <w:rPr>
          <w:rFonts w:ascii="Marianne" w:hAnsi="Marianne"/>
          <w:sz w:val="20"/>
          <w:szCs w:val="20"/>
        </w:rPr>
      </w:r>
    </w:p>
    <w:p>
      <w:pPr>
        <w:pStyle w:val="normal1"/>
        <w:suppressAutoHyphens w:val="false"/>
        <w:spacing w:lineRule="auto" w:line="240" w:before="57" w:after="57"/>
        <w:jc w:val="both"/>
        <w:rPr>
          <w:rFonts w:ascii="Marianne" w:hAnsi="Marianne"/>
          <w:sz w:val="20"/>
          <w:szCs w:val="20"/>
        </w:rPr>
      </w:pPr>
      <w:r>
        <w:rPr>
          <w:rFonts w:ascii="Marianne" w:hAnsi="Marianne"/>
          <w:sz w:val="20"/>
          <w:szCs w:val="20"/>
        </w:rPr>
      </w:r>
    </w:p>
    <w:p>
      <w:pPr>
        <w:pStyle w:val="normal1"/>
        <w:suppressAutoHyphens w:val="false"/>
        <w:spacing w:before="57" w:after="57"/>
        <w:ind w:hanging="0" w:left="567"/>
        <w:jc w:val="both"/>
        <w:rPr>
          <w:rFonts w:ascii="Marianne" w:hAnsi="Marianne"/>
          <w:sz w:val="20"/>
          <w:szCs w:val="20"/>
        </w:rPr>
      </w:pPr>
      <w:r>
        <w:rPr>
          <w:rFonts w:ascii="Marianne" w:hAnsi="Marianne"/>
          <w:b/>
          <w:bCs/>
          <w:sz w:val="20"/>
          <w:szCs w:val="20"/>
          <w:u w:val="single"/>
        </w:rPr>
        <w:t>1ère option : embauche directe dans l’entreprise, via les contrats suivants :</w:t>
      </w:r>
    </w:p>
    <w:p>
      <w:pPr>
        <w:pStyle w:val="normal1"/>
        <w:numPr>
          <w:ilvl w:val="0"/>
          <w:numId w:val="3"/>
        </w:numPr>
        <w:suppressAutoHyphens w:val="false"/>
        <w:spacing w:before="57" w:after="57"/>
        <w:ind w:hanging="360" w:left="1287"/>
        <w:jc w:val="both"/>
        <w:rPr>
          <w:rFonts w:ascii="Marianne" w:hAnsi="Marianne"/>
          <w:sz w:val="20"/>
          <w:szCs w:val="20"/>
        </w:rPr>
      </w:pPr>
      <w:r>
        <w:rPr>
          <w:rFonts w:ascii="Marianne" w:hAnsi="Marianne"/>
          <w:sz w:val="20"/>
          <w:szCs w:val="20"/>
        </w:rPr>
        <w:t>Tous doivent être signés postérieurement à la date de notification du marché ou à l’occasion d’un précédent marché public clausé sur le territoire (sur justificatifs)</w:t>
      </w:r>
    </w:p>
    <w:p>
      <w:pPr>
        <w:pStyle w:val="normal1"/>
        <w:suppressAutoHyphens w:val="false"/>
        <w:spacing w:before="57" w:after="57"/>
        <w:ind w:hanging="284" w:left="851"/>
        <w:jc w:val="both"/>
        <w:rPr>
          <w:rFonts w:ascii="Marianne" w:hAnsi="Marianne"/>
          <w:sz w:val="20"/>
          <w:szCs w:val="20"/>
        </w:rPr>
      </w:pPr>
      <w:r>
        <w:rPr>
          <w:rFonts w:ascii="Marianne" w:hAnsi="Marianne"/>
          <w:sz w:val="20"/>
          <w:szCs w:val="20"/>
        </w:rPr>
        <w:t>-</w:t>
        <w:tab/>
        <w:t>C.D.D. ou C.D.I. de droit commun,</w:t>
      </w:r>
    </w:p>
    <w:p>
      <w:pPr>
        <w:pStyle w:val="normal1"/>
        <w:suppressAutoHyphens w:val="false"/>
        <w:spacing w:before="57" w:after="57"/>
        <w:ind w:hanging="284" w:left="851"/>
        <w:jc w:val="both"/>
        <w:rPr>
          <w:rFonts w:ascii="Marianne" w:hAnsi="Marianne"/>
          <w:sz w:val="20"/>
          <w:szCs w:val="20"/>
        </w:rPr>
      </w:pPr>
      <w:r>
        <w:rPr>
          <w:rFonts w:ascii="Marianne" w:hAnsi="Marianne"/>
          <w:sz w:val="20"/>
          <w:szCs w:val="20"/>
        </w:rPr>
        <w:t>-</w:t>
        <w:tab/>
        <w:t>Contrat en alternance : contrat de professionnalisation ou d’apprentissage</w:t>
      </w:r>
      <w:r>
        <w:rPr>
          <w:rFonts w:eastAsia="Calibri" w:cs="Calibri" w:ascii="Marianne" w:hAnsi="Marianne"/>
          <w:sz w:val="20"/>
          <w:szCs w:val="20"/>
        </w:rPr>
        <w:t xml:space="preserve"> </w:t>
      </w:r>
    </w:p>
    <w:p>
      <w:pPr>
        <w:pStyle w:val="normal1"/>
        <w:suppressAutoHyphens w:val="false"/>
        <w:spacing w:before="57" w:after="57"/>
        <w:ind w:hanging="0" w:left="567"/>
        <w:jc w:val="both"/>
        <w:rPr>
          <w:rFonts w:ascii="Marianne" w:hAnsi="Marianne"/>
          <w:b/>
          <w:bCs/>
          <w:sz w:val="20"/>
          <w:szCs w:val="20"/>
          <w:u w:val="single"/>
        </w:rPr>
      </w:pPr>
      <w:r>
        <w:rPr>
          <w:rFonts w:ascii="Marianne" w:hAnsi="Marianne"/>
          <w:b/>
          <w:bCs/>
          <w:sz w:val="20"/>
          <w:szCs w:val="20"/>
          <w:u w:val="single"/>
        </w:rPr>
        <w:t>2ᵉ option : sous-traitance ou co-traitance avec une entreprise d’insertion </w:t>
      </w:r>
    </w:p>
    <w:p>
      <w:pPr>
        <w:pStyle w:val="normal1"/>
        <w:suppressAutoHyphens w:val="false"/>
        <w:spacing w:before="57" w:after="57"/>
        <w:ind w:hanging="284" w:left="851"/>
        <w:jc w:val="both"/>
        <w:rPr>
          <w:rFonts w:ascii="Marianne" w:hAnsi="Marianne"/>
          <w:sz w:val="20"/>
          <w:szCs w:val="20"/>
        </w:rPr>
      </w:pPr>
      <w:r>
        <w:rPr>
          <w:rFonts w:eastAsia="Calibri" w:cs="Calibri" w:ascii="Marianne" w:hAnsi="Marianne"/>
          <w:sz w:val="20"/>
          <w:szCs w:val="20"/>
        </w:rPr>
        <w:t>-</w:t>
        <w:tab/>
      </w:r>
      <w:r>
        <w:rPr>
          <w:rFonts w:ascii="Marianne" w:hAnsi="Marianne"/>
          <w:sz w:val="20"/>
          <w:szCs w:val="20"/>
        </w:rPr>
        <w:t>Co-traitance ou sous-traitance avec une entreprise d’insertion pour l’équivalent du nombre d’heures en insertion imposé par lot.</w:t>
      </w:r>
    </w:p>
    <w:p>
      <w:pPr>
        <w:pStyle w:val="normal1"/>
        <w:suppressAutoHyphens w:val="false"/>
        <w:spacing w:before="57" w:after="57"/>
        <w:ind w:hanging="284" w:left="851"/>
        <w:jc w:val="both"/>
        <w:rPr>
          <w:rFonts w:ascii="Marianne" w:hAnsi="Marianne"/>
          <w:sz w:val="20"/>
          <w:szCs w:val="20"/>
        </w:rPr>
      </w:pPr>
      <w:r>
        <w:rPr>
          <w:rFonts w:ascii="Marianne" w:hAnsi="Marianne"/>
          <w:sz w:val="20"/>
          <w:szCs w:val="20"/>
        </w:rPr>
        <w:t>-</w:t>
        <w:tab/>
        <w:t>Candidature au présent marché par une entreprise d’insertion.</w:t>
      </w:r>
    </w:p>
    <w:p>
      <w:pPr>
        <w:pStyle w:val="normal1"/>
        <w:suppressAutoHyphens w:val="false"/>
        <w:spacing w:before="57" w:after="57"/>
        <w:ind w:hanging="0" w:left="0"/>
        <w:jc w:val="both"/>
        <w:rPr>
          <w:rFonts w:ascii="Marianne" w:hAnsi="Marianne"/>
          <w:sz w:val="20"/>
          <w:szCs w:val="20"/>
        </w:rPr>
      </w:pPr>
      <w:r>
        <w:rPr>
          <w:rFonts w:ascii="Marianne" w:hAnsi="Marianne"/>
          <w:b/>
          <w:bCs/>
          <w:sz w:val="20"/>
          <w:szCs w:val="20"/>
        </w:rPr>
        <w:t xml:space="preserve">           </w:t>
      </w:r>
      <w:r>
        <w:rPr>
          <w:rFonts w:ascii="Marianne" w:hAnsi="Marianne"/>
          <w:b/>
          <w:bCs/>
          <w:sz w:val="20"/>
          <w:szCs w:val="20"/>
          <w:u w:val="single"/>
        </w:rPr>
        <w:t>3ᵉ option : mise à disposition de personnels par une structure qualifiée :</w:t>
      </w:r>
    </w:p>
    <w:p>
      <w:pPr>
        <w:pStyle w:val="normal1"/>
        <w:suppressAutoHyphens w:val="false"/>
        <w:spacing w:before="57" w:after="57"/>
        <w:ind w:hanging="284" w:left="851"/>
        <w:jc w:val="both"/>
        <w:rPr>
          <w:rFonts w:ascii="Marianne" w:hAnsi="Marianne"/>
          <w:sz w:val="20"/>
          <w:szCs w:val="20"/>
        </w:rPr>
      </w:pPr>
      <w:r>
        <w:rPr>
          <w:rFonts w:eastAsia="Calibri" w:cs="Calibri" w:ascii="Marianne" w:hAnsi="Marianne"/>
          <w:sz w:val="20"/>
          <w:szCs w:val="20"/>
        </w:rPr>
        <w:t>-</w:t>
        <w:tab/>
      </w:r>
      <w:r>
        <w:rPr>
          <w:rFonts w:ascii="Marianne" w:hAnsi="Marianne"/>
          <w:sz w:val="20"/>
          <w:szCs w:val="20"/>
        </w:rPr>
        <w:t>Recours à une Entreprise de Travail Temporaire d’Insertion (ETTI) ou ETT agréée, ou à une Association Intermédiaire (AI),</w:t>
      </w:r>
    </w:p>
    <w:p>
      <w:pPr>
        <w:pStyle w:val="normal1"/>
        <w:suppressAutoHyphens w:val="false"/>
        <w:spacing w:before="57" w:after="57"/>
        <w:ind w:hanging="284" w:left="851"/>
        <w:jc w:val="both"/>
        <w:rPr>
          <w:rFonts w:ascii="Marianne" w:hAnsi="Marianne"/>
          <w:sz w:val="20"/>
          <w:szCs w:val="20"/>
        </w:rPr>
      </w:pPr>
      <w:r>
        <w:rPr>
          <w:rFonts w:ascii="Marianne" w:hAnsi="Marianne"/>
          <w:sz w:val="20"/>
          <w:szCs w:val="20"/>
        </w:rPr>
        <w:t>-</w:t>
        <w:tab/>
        <w:t>Recours à un Groupement d’Employeurs pour l’Insertion et la Qualification (GEIQ).</w:t>
      </w:r>
    </w:p>
    <w:p>
      <w:pPr>
        <w:pStyle w:val="normal1"/>
        <w:suppressAutoHyphens w:val="false"/>
        <w:spacing w:before="57" w:after="57"/>
        <w:jc w:val="both"/>
        <w:rPr>
          <w:rFonts w:ascii="Marianne" w:hAnsi="Marianne"/>
          <w:sz w:val="20"/>
          <w:szCs w:val="20"/>
        </w:rPr>
      </w:pPr>
      <w:r>
        <w:rPr>
          <w:rFonts w:ascii="Marianne" w:hAnsi="Marianne"/>
          <w:sz w:val="20"/>
          <w:szCs w:val="20"/>
        </w:rPr>
        <w:t>Les personnes recrutées restent choisies librement et sous la seule responsabilité du titulaire du marché. Si les bénéficiaires affectés auprès du titulaire du marché ne donnent pas satisfaction, le titulaire du marché pourra demander leur remplacement. Il reste que le titulaire demeure lié par son engagement au volume horaire et les objectifs qualitatifs fixés au marché.</w:t>
      </w:r>
      <w:bookmarkStart w:id="2" w:name="_heading=h.8mq0htwj4rjm"/>
      <w:bookmarkEnd w:id="2"/>
    </w:p>
    <w:p>
      <w:pPr>
        <w:pStyle w:val="normal1"/>
        <w:suppressAutoHyphens w:val="false"/>
        <w:spacing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ARTICLE 5 - L’ACCOMPAGNEMENT DE L’ACTION D’INSERTION</w:t>
      </w:r>
    </w:p>
    <w:p>
      <w:pPr>
        <w:pStyle w:val="normal1"/>
        <w:keepNext w:val="false"/>
        <w:keepLines w:val="false"/>
        <w:pageBreakBefore w:val="false"/>
        <w:widowControl/>
        <w:suppressAutoHyphens w:val="false"/>
        <w:spacing w:lineRule="auto" w:line="240" w:before="57" w:after="57"/>
        <w:ind w:hanging="0" w:left="0"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Afin de faciliter la mise en œuvre de l'action d'insertion, la Maison de l’emploi et de la formation sud Ardèche, service de facilitation des clauses, est chargée par le Maître d’Ouvrage : </w:t>
      </w:r>
    </w:p>
    <w:p>
      <w:pPr>
        <w:pStyle w:val="normal1"/>
        <w:numPr>
          <w:ilvl w:val="0"/>
          <w:numId w:val="2"/>
        </w:numPr>
        <w:tabs>
          <w:tab w:val="clear" w:pos="720"/>
          <w:tab w:val="left" w:pos="851" w:leader="none"/>
        </w:tabs>
        <w:suppressAutoHyphens w:val="false"/>
        <w:spacing w:before="57" w:after="57"/>
        <w:ind w:hanging="360" w:left="1287"/>
        <w:jc w:val="both"/>
        <w:rPr>
          <w:rFonts w:ascii="Marianne" w:hAnsi="Marianne"/>
          <w:color w:val="000000"/>
          <w:sz w:val="20"/>
          <w:szCs w:val="20"/>
        </w:rPr>
      </w:pPr>
      <w:r>
        <w:rPr>
          <w:rFonts w:ascii="Marianne" w:hAnsi="Marianne"/>
          <w:color w:val="000000"/>
          <w:sz w:val="20"/>
          <w:szCs w:val="20"/>
        </w:rPr>
        <w:t>du suivi de la mise en œuvre par les entreprises et du bilan général de l’action, et au préalable  d’un accompagnement spécifique, afin :</w:t>
      </w:r>
    </w:p>
    <w:p>
      <w:pPr>
        <w:pStyle w:val="normal1"/>
        <w:tabs>
          <w:tab w:val="clear" w:pos="720"/>
          <w:tab w:val="left" w:pos="851" w:leader="none"/>
        </w:tabs>
        <w:suppressAutoHyphens w:val="false"/>
        <w:spacing w:before="57" w:after="57"/>
        <w:ind w:hanging="142" w:left="2127"/>
        <w:jc w:val="both"/>
        <w:rPr>
          <w:rFonts w:ascii="Marianne" w:hAnsi="Marianne"/>
          <w:color w:val="000000"/>
          <w:sz w:val="20"/>
          <w:szCs w:val="20"/>
        </w:rPr>
      </w:pPr>
      <w:r>
        <w:rPr>
          <w:rFonts w:ascii="Marianne" w:hAnsi="Marianne"/>
          <w:color w:val="000000"/>
          <w:sz w:val="20"/>
          <w:szCs w:val="20"/>
        </w:rPr>
        <w:t>– </w:t>
      </w:r>
      <w:r>
        <w:rPr>
          <w:rFonts w:ascii="Marianne" w:hAnsi="Marianne"/>
          <w:color w:val="000000"/>
          <w:sz w:val="20"/>
          <w:szCs w:val="20"/>
        </w:rPr>
        <w:t>de conseiller et informer les entreprises sur les modalités de mise en œuvre de l'action,</w:t>
      </w:r>
    </w:p>
    <w:p>
      <w:pPr>
        <w:pStyle w:val="normal1"/>
        <w:tabs>
          <w:tab w:val="clear" w:pos="720"/>
          <w:tab w:val="left" w:pos="851" w:leader="none"/>
        </w:tabs>
        <w:suppressAutoHyphens w:val="false"/>
        <w:spacing w:before="57" w:after="57"/>
        <w:ind w:hanging="142" w:left="2127"/>
        <w:jc w:val="both"/>
        <w:rPr>
          <w:rFonts w:ascii="Marianne" w:hAnsi="Marianne"/>
          <w:color w:val="000000"/>
          <w:sz w:val="20"/>
          <w:szCs w:val="20"/>
        </w:rPr>
      </w:pPr>
      <w:r>
        <w:rPr>
          <w:rFonts w:ascii="Marianne" w:hAnsi="Marianne"/>
          <w:color w:val="000000"/>
          <w:sz w:val="20"/>
          <w:szCs w:val="20"/>
        </w:rPr>
        <w:t>– </w:t>
      </w:r>
      <w:r>
        <w:rPr>
          <w:rFonts w:ascii="Marianne" w:hAnsi="Marianne"/>
          <w:color w:val="000000"/>
          <w:sz w:val="20"/>
          <w:szCs w:val="20"/>
        </w:rPr>
        <w:t>de mettre en relation les entreprises avec les structures d'insertion par l'activité économique,</w:t>
      </w:r>
    </w:p>
    <w:p>
      <w:pPr>
        <w:pStyle w:val="normal1"/>
        <w:tabs>
          <w:tab w:val="clear" w:pos="720"/>
          <w:tab w:val="left" w:pos="851" w:leader="none"/>
        </w:tabs>
        <w:suppressAutoHyphens w:val="false"/>
        <w:spacing w:before="57" w:after="57"/>
        <w:ind w:hanging="0" w:left="1985"/>
        <w:jc w:val="both"/>
        <w:rPr>
          <w:rFonts w:ascii="Marianne" w:hAnsi="Marianne"/>
          <w:color w:val="000000"/>
          <w:sz w:val="20"/>
          <w:szCs w:val="20"/>
        </w:rPr>
      </w:pPr>
      <w:r>
        <w:rPr>
          <w:rFonts w:ascii="Marianne" w:hAnsi="Marianne"/>
          <w:color w:val="000000"/>
          <w:sz w:val="20"/>
          <w:szCs w:val="20"/>
        </w:rPr>
        <w:t>– </w:t>
      </w:r>
      <w:r>
        <w:rPr>
          <w:rFonts w:ascii="Marianne" w:hAnsi="Marianne"/>
          <w:color w:val="000000"/>
          <w:sz w:val="20"/>
          <w:szCs w:val="20"/>
        </w:rPr>
        <w:t>d’aider au recrutement de personnes éligibles à l'action,</w:t>
      </w:r>
    </w:p>
    <w:p>
      <w:pPr>
        <w:pStyle w:val="normal1"/>
        <w:tabs>
          <w:tab w:val="clear" w:pos="720"/>
          <w:tab w:val="left" w:pos="851" w:leader="none"/>
        </w:tabs>
        <w:suppressAutoHyphens w:val="false"/>
        <w:spacing w:before="57" w:after="57"/>
        <w:ind w:hanging="142" w:left="2127"/>
        <w:jc w:val="both"/>
        <w:rPr>
          <w:rFonts w:ascii="Marianne" w:hAnsi="Marianne"/>
          <w:color w:val="000000"/>
          <w:sz w:val="20"/>
          <w:szCs w:val="20"/>
        </w:rPr>
      </w:pPr>
      <w:r>
        <w:rPr>
          <w:rFonts w:ascii="Marianne" w:hAnsi="Marianne"/>
          <w:color w:val="000000"/>
          <w:sz w:val="20"/>
          <w:szCs w:val="20"/>
        </w:rPr>
        <w:t>– </w:t>
      </w:r>
      <w:r>
        <w:rPr>
          <w:rFonts w:ascii="Marianne" w:hAnsi="Marianne"/>
          <w:color w:val="000000"/>
          <w:sz w:val="20"/>
          <w:szCs w:val="20"/>
        </w:rPr>
        <w:t>de suivre l’application de la clause et d’évaluer ses effets sur l’accès à l’emploi en liaison avec les entreprises.</w:t>
      </w:r>
    </w:p>
    <w:p>
      <w:pPr>
        <w:pStyle w:val="normal1"/>
        <w:suppressAutoHyphens w:val="false"/>
        <w:spacing w:before="57" w:after="57"/>
        <w:ind w:hanging="0" w:left="567"/>
        <w:jc w:val="both"/>
        <w:rPr>
          <w:rFonts w:ascii="Marianne" w:hAnsi="Marianne"/>
          <w:sz w:val="20"/>
          <w:szCs w:val="20"/>
        </w:rPr>
      </w:pPr>
      <w:r>
        <w:rPr>
          <w:rFonts w:ascii="Marianne" w:hAnsi="Marianne"/>
          <w:sz w:val="20"/>
          <w:szCs w:val="20"/>
        </w:rPr>
        <w:t>Facilitateur de la clause sociale d’insertion :</w:t>
      </w:r>
    </w:p>
    <w:p>
      <w:pPr>
        <w:pStyle w:val="normal1"/>
        <w:suppressAutoHyphens w:val="false"/>
        <w:spacing w:before="57" w:after="57"/>
        <w:ind w:hanging="0" w:left="567"/>
        <w:jc w:val="both"/>
        <w:rPr>
          <w:rFonts w:ascii="Marianne" w:hAnsi="Marianne"/>
          <w:b/>
          <w:bCs/>
          <w:sz w:val="20"/>
          <w:szCs w:val="20"/>
        </w:rPr>
      </w:pPr>
      <w:r>
        <w:rPr>
          <w:rFonts w:ascii="Marianne" w:hAnsi="Marianne"/>
          <w:b/>
          <w:bCs/>
          <w:sz w:val="20"/>
          <w:szCs w:val="20"/>
        </w:rPr>
        <w:t xml:space="preserve">Mathieu VINCENT – Chargé de Mission Insertion – Marchés Publics </w:t>
      </w:r>
    </w:p>
    <w:p>
      <w:pPr>
        <w:pStyle w:val="normal1"/>
        <w:suppressAutoHyphens w:val="false"/>
        <w:spacing w:before="57" w:after="57"/>
        <w:ind w:hanging="0" w:left="567"/>
        <w:jc w:val="both"/>
        <w:rPr>
          <w:rFonts w:ascii="Marianne" w:hAnsi="Marianne"/>
          <w:b/>
          <w:bCs/>
          <w:sz w:val="20"/>
          <w:szCs w:val="20"/>
        </w:rPr>
      </w:pPr>
      <w:r>
        <w:rPr>
          <w:rFonts w:ascii="Marianne" w:hAnsi="Marianne"/>
          <w:b/>
          <w:bCs/>
          <w:sz w:val="20"/>
          <w:szCs w:val="20"/>
        </w:rPr>
        <w:t>Maison de l’emploi et de la formation sud Ardèche (Aubenas)</w:t>
      </w:r>
    </w:p>
    <w:p>
      <w:pPr>
        <w:pStyle w:val="normal1"/>
        <w:suppressAutoHyphens w:val="false"/>
        <w:spacing w:before="57" w:after="57"/>
        <w:ind w:hanging="0" w:left="567"/>
        <w:jc w:val="both"/>
        <w:rPr/>
      </w:pPr>
      <w:r>
        <w:rPr>
          <w:rFonts w:ascii="Marianne" w:hAnsi="Marianne"/>
          <w:b/>
          <w:bCs/>
          <w:sz w:val="20"/>
          <w:szCs w:val="20"/>
        </w:rPr>
        <w:t xml:space="preserve">Tél. : 06 49 17 81 44 – Email : </w:t>
      </w:r>
      <w:hyperlink r:id="rId5">
        <w:r>
          <w:rPr>
            <w:rStyle w:val="Style"/>
            <w:rFonts w:ascii="Marianne" w:hAnsi="Marianne"/>
            <w:b/>
            <w:bCs/>
            <w:color w:val="1155CC"/>
            <w:sz w:val="20"/>
            <w:szCs w:val="20"/>
            <w:u w:val="single"/>
          </w:rPr>
          <w:t>clauses@mdef-sudardeche.fr</w:t>
        </w:r>
      </w:hyperlink>
      <w:r>
        <w:rPr>
          <w:rFonts w:ascii="Marianne" w:hAnsi="Marianne"/>
          <w:b/>
          <w:bCs/>
          <w:sz w:val="20"/>
          <w:szCs w:val="20"/>
        </w:rPr>
        <w:t xml:space="preserve"> </w:t>
      </w:r>
    </w:p>
    <w:p>
      <w:pPr>
        <w:pStyle w:val="normal1"/>
        <w:suppressAutoHyphens w:val="false"/>
        <w:spacing w:before="57" w:after="57"/>
        <w:jc w:val="both"/>
        <w:rPr>
          <w:rFonts w:ascii="Marianne" w:hAnsi="Marianne" w:eastAsia="Trebuchet MS" w:cs="Trebuchet MS"/>
          <w:b/>
          <w:bCs/>
          <w:color w:val="ED7D31"/>
          <w:sz w:val="20"/>
          <w:szCs w:val="20"/>
        </w:rPr>
      </w:pPr>
      <w:bookmarkStart w:id="3" w:name="_heading=h.ekuiauivxhr2"/>
      <w:bookmarkEnd w:id="3"/>
      <w:r>
        <w:rPr>
          <w:rFonts w:eastAsia="Trebuchet MS" w:cs="Trebuchet MS" w:ascii="Marianne" w:hAnsi="Marianne"/>
          <w:b/>
          <w:bCs/>
          <w:color w:val="ED7D31"/>
          <w:sz w:val="20"/>
          <w:szCs w:val="20"/>
        </w:rPr>
        <w:t>ARTICLE 6 – CONTRÔLE DE L’ACTION D’INSERTION</w:t>
      </w:r>
    </w:p>
    <w:p>
      <w:pPr>
        <w:pStyle w:val="normal1"/>
        <w:suppressAutoHyphens w:val="false"/>
        <w:spacing w:before="57" w:after="57"/>
        <w:jc w:val="both"/>
        <w:rPr>
          <w:rFonts w:ascii="Marianne" w:hAnsi="Marianne"/>
          <w:color w:val="000000"/>
          <w:sz w:val="20"/>
          <w:szCs w:val="20"/>
        </w:rPr>
      </w:pPr>
      <w:r>
        <w:rPr>
          <w:rFonts w:ascii="Marianne" w:hAnsi="Marianne"/>
          <w:color w:val="000000"/>
          <w:sz w:val="20"/>
          <w:szCs w:val="20"/>
        </w:rPr>
        <w:t>Il sera procédé au contrôle de l'exécution des actions d'insertion pour lesquelles le prestataire s'est engagé.</w:t>
      </w:r>
    </w:p>
    <w:p>
      <w:pPr>
        <w:pStyle w:val="normal1"/>
        <w:suppressAutoHyphens w:val="false"/>
        <w:spacing w:before="57" w:after="57"/>
        <w:jc w:val="both"/>
        <w:rPr>
          <w:rFonts w:ascii="Marianne" w:hAnsi="Marianne"/>
          <w:sz w:val="20"/>
          <w:szCs w:val="20"/>
        </w:rPr>
      </w:pPr>
      <w:r>
        <w:rPr>
          <w:rFonts w:ascii="Marianne" w:hAnsi="Marianne"/>
          <w:sz w:val="20"/>
          <w:szCs w:val="20"/>
        </w:rPr>
        <w:t>A cet effet, il produira obligatoirement, au fur et à mesure de leur mise en œuvre, tous les renseignements relatifs à la réalisation de l'action :</w:t>
      </w:r>
    </w:p>
    <w:p>
      <w:pPr>
        <w:pStyle w:val="normal1"/>
        <w:keepNext w:val="false"/>
        <w:keepLines w:val="false"/>
        <w:pageBreakBefore w:val="false"/>
        <w:widowControl/>
        <w:numPr>
          <w:ilvl w:val="0"/>
          <w:numId w:val="4"/>
        </w:numPr>
        <w:suppressAutoHyphens w:val="false"/>
        <w:spacing w:lineRule="auto" w:line="240" w:before="57" w:after="57"/>
        <w:ind w:hanging="142" w:left="284" w:right="0"/>
        <w:jc w:val="both"/>
        <w:rPr>
          <w:rFonts w:ascii="Marianne" w:hAnsi="Marianne"/>
          <w:sz w:val="20"/>
          <w:szCs w:val="20"/>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les documents justifiant que les personnes employées répondent aux critères indiqués  à l’article </w:t>
      </w:r>
      <w:r>
        <w:rPr>
          <w:rFonts w:eastAsia="Times New Roman" w:cs="Times New Roman" w:ascii="Marianne" w:hAnsi="Marianne"/>
          <w:b/>
          <w:bCs/>
          <w:i w:val="false"/>
          <w:iCs w:val="false"/>
          <w:caps w:val="false"/>
          <w:smallCaps w:val="false"/>
          <w:strike w:val="false"/>
          <w:dstrike w:val="false"/>
          <w:color w:val="000000"/>
          <w:position w:val="0"/>
          <w:sz w:val="20"/>
          <w:sz w:val="20"/>
          <w:szCs w:val="20"/>
          <w:u w:val="none"/>
          <w:shd w:fill="auto" w:val="clear"/>
          <w:vertAlign w:val="baseline"/>
        </w:rPr>
        <w:t>2</w:t>
      </w: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w:t>
      </w:r>
    </w:p>
    <w:p>
      <w:pPr>
        <w:pStyle w:val="normal1"/>
        <w:keepNext w:val="false"/>
        <w:keepLines w:val="false"/>
        <w:pageBreakBefore w:val="false"/>
        <w:widowControl/>
        <w:numPr>
          <w:ilvl w:val="0"/>
          <w:numId w:val="4"/>
        </w:numPr>
        <w:suppressAutoHyphens w:val="false"/>
        <w:spacing w:lineRule="auto" w:line="240" w:before="57" w:after="57"/>
        <w:ind w:hanging="142" w:left="284"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les contrats de travail et les copies bulletins de salaires ou tableaux d’heures des structures d’insertion et autres prestataires dûment signés à chaque début de mois</w:t>
      </w:r>
    </w:p>
    <w:p>
      <w:pPr>
        <w:pStyle w:val="normal1"/>
        <w:keepNext w:val="false"/>
        <w:keepLines w:val="false"/>
        <w:pageBreakBefore w:val="false"/>
        <w:widowControl/>
        <w:numPr>
          <w:ilvl w:val="0"/>
          <w:numId w:val="4"/>
        </w:numPr>
        <w:suppressAutoHyphens w:val="false"/>
        <w:spacing w:lineRule="auto" w:line="240" w:before="57" w:after="57"/>
        <w:ind w:hanging="142" w:left="284" w:right="0"/>
        <w:jc w:val="both"/>
        <w:rPr>
          <w:rFonts w:ascii="Marianne" w:hAnsi="Marianne"/>
          <w:sz w:val="20"/>
          <w:szCs w:val="20"/>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la fiche relative à la protection des données (RGPD) : fiche de </w:t>
      </w:r>
      <w:r>
        <w:rPr>
          <w:rFonts w:ascii="Marianne" w:hAnsi="Marianne"/>
          <w:sz w:val="20"/>
          <w:szCs w:val="20"/>
        </w:rPr>
        <w:t>positionnement</w:t>
      </w: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ou fiche de </w:t>
      </w:r>
      <w:r>
        <w:rPr>
          <w:rFonts w:ascii="Marianne" w:hAnsi="Marianne"/>
          <w:sz w:val="20"/>
          <w:szCs w:val="20"/>
        </w:rPr>
        <w:t>positionnement</w:t>
      </w: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 – Embauche directe</w:t>
      </w:r>
    </w:p>
    <w:p>
      <w:pPr>
        <w:pStyle w:val="normal1"/>
        <w:suppressAutoHyphens w:val="false"/>
        <w:spacing w:before="57" w:after="57"/>
        <w:jc w:val="both"/>
        <w:rPr>
          <w:rFonts w:ascii="Marianne" w:hAnsi="Marianne"/>
          <w:sz w:val="20"/>
          <w:szCs w:val="20"/>
        </w:rPr>
      </w:pPr>
      <w:r>
        <w:rPr>
          <w:rFonts w:ascii="Marianne" w:hAnsi="Marianne"/>
          <w:sz w:val="20"/>
          <w:szCs w:val="20"/>
        </w:rPr>
        <w:t xml:space="preserve">L'entreprise attributaire doit informer le Facilitateur par mail et le Maître d’ouvrage par courrier recommandé avec AR, si elle rencontre des difficultés pour assurer son engagement. </w:t>
      </w:r>
    </w:p>
    <w:p>
      <w:pPr>
        <w:pStyle w:val="normal1"/>
        <w:suppressAutoHyphens w:val="false"/>
        <w:spacing w:before="57" w:after="57"/>
        <w:jc w:val="both"/>
        <w:rPr>
          <w:rFonts w:ascii="Marianne" w:hAnsi="Marianne"/>
          <w:sz w:val="20"/>
          <w:szCs w:val="20"/>
        </w:rPr>
      </w:pPr>
      <w:r>
        <w:rPr>
          <w:rFonts w:ascii="Marianne" w:hAnsi="Marianne"/>
          <w:sz w:val="20"/>
          <w:szCs w:val="20"/>
        </w:rPr>
        <w:t>Dans ce cas, le facilitateur référent Insertion étudiera avec l’entreprise attributaire les justificatifs de sa situation et  les solutions à apporter. Celles-ci seront soumises à validation par le Maître d’Ouvrage.</w:t>
      </w:r>
    </w:p>
    <w:p>
      <w:pPr>
        <w:pStyle w:val="normal1"/>
        <w:suppressAutoHyphens w:val="false"/>
        <w:spacing w:before="57" w:after="57"/>
        <w:jc w:val="both"/>
        <w:rPr>
          <w:rFonts w:ascii="Marianne" w:hAnsi="Marianne"/>
          <w:sz w:val="20"/>
          <w:szCs w:val="20"/>
        </w:rPr>
      </w:pPr>
      <w:r>
        <w:rPr>
          <w:rFonts w:ascii="Marianne" w:hAnsi="Marianne"/>
          <w:sz w:val="20"/>
          <w:szCs w:val="20"/>
        </w:rPr>
        <w:t xml:space="preserve">En cas de difficultés économiques, établies par un faisceau d’indices, l’entreprise attributaire peut demander au pouvoir adjudicateur la suspension ou la suppression de la clause sociale d’insertion. </w:t>
      </w:r>
    </w:p>
    <w:p>
      <w:pPr>
        <w:pStyle w:val="normal1"/>
        <w:suppressAutoHyphens w:val="false"/>
        <w:spacing w:before="57" w:after="57"/>
        <w:jc w:val="both"/>
        <w:rPr>
          <w:rFonts w:ascii="Marianne" w:hAnsi="Marianne"/>
          <w:sz w:val="20"/>
          <w:szCs w:val="20"/>
        </w:rPr>
      </w:pPr>
      <w:r>
        <w:rPr>
          <w:rFonts w:ascii="Marianne" w:hAnsi="Marianne"/>
          <w:sz w:val="20"/>
          <w:szCs w:val="20"/>
        </w:rPr>
        <w:t xml:space="preserve">En cas de difficultés économiques qui se traduisent par le recours à de l’activité partielle, ou à l’engagement d’une procédure de licenciement pour motif économique ou encore, à l’ouverture d’une procédure de redressement judiciaire, le pouvoir adjudicateur annule la clause sociale d’insertion. Cette annulation est subordonnée à la communication d’une copie des documents afférents à ces difficultés, transmis à la DDETS (PP) ou au juge. </w:t>
      </w:r>
    </w:p>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ARTICLE 7 – PÉNALITÉS</w:t>
      </w:r>
    </w:p>
    <w:p>
      <w:pPr>
        <w:pStyle w:val="normal1"/>
        <w:suppressAutoHyphens w:val="false"/>
        <w:spacing w:before="57" w:after="57"/>
        <w:jc w:val="both"/>
        <w:rPr>
          <w:rFonts w:ascii="Marianne" w:hAnsi="Marianne"/>
          <w:b/>
          <w:bCs/>
          <w:sz w:val="20"/>
          <w:szCs w:val="20"/>
        </w:rPr>
      </w:pPr>
      <w:r>
        <w:rPr>
          <w:rFonts w:ascii="Marianne" w:hAnsi="Marianne"/>
          <w:b/>
          <w:bCs/>
          <w:sz w:val="20"/>
          <w:szCs w:val="20"/>
        </w:rPr>
        <w:t xml:space="preserve">En cas de non-exécution de la clause sociale d’insertion, et après mise en demeure, le titulaire du marché se voit appliquer les pénalités forfaitaires suivantes : </w:t>
      </w:r>
    </w:p>
    <w:tbl>
      <w:tblPr>
        <w:tblW w:w="10200" w:type="dxa"/>
        <w:jc w:val="left"/>
        <w:tblInd w:w="0" w:type="dxa"/>
        <w:tblLayout w:type="fixed"/>
        <w:tblCellMar>
          <w:top w:w="0" w:type="dxa"/>
          <w:left w:w="108" w:type="dxa"/>
          <w:bottom w:w="0" w:type="dxa"/>
          <w:right w:w="108" w:type="dxa"/>
        </w:tblCellMar>
      </w:tblPr>
      <w:tblGrid>
        <w:gridCol w:w="5613"/>
        <w:gridCol w:w="4586"/>
      </w:tblGrid>
      <w:tr>
        <w:trPr/>
        <w:tc>
          <w:tcPr>
            <w:tcW w:w="5613" w:type="dxa"/>
            <w:tcBorders>
              <w:top w:val="single" w:sz="4" w:space="0" w:color="000000"/>
              <w:left w:val="single" w:sz="4" w:space="0" w:color="000000"/>
              <w:bottom w:val="single" w:sz="6" w:space="0" w:color="000000"/>
              <w:right w:val="single" w:sz="6" w:space="0" w:color="000000"/>
            </w:tcBorders>
            <w:vAlign w:val="center"/>
          </w:tcPr>
          <w:p>
            <w:pPr>
              <w:pStyle w:val="normal1"/>
              <w:keepLines/>
              <w:tabs>
                <w:tab w:val="clear" w:pos="720"/>
                <w:tab w:val="left" w:pos="567" w:leader="none"/>
                <w:tab w:val="left" w:pos="851" w:leader="none"/>
                <w:tab w:val="left" w:pos="1134" w:leader="none"/>
              </w:tabs>
              <w:suppressAutoHyphens w:val="false"/>
              <w:spacing w:before="114" w:after="114"/>
              <w:jc w:val="center"/>
              <w:rPr>
                <w:rFonts w:ascii="Marianne" w:hAnsi="Marianne"/>
                <w:sz w:val="20"/>
                <w:szCs w:val="20"/>
              </w:rPr>
            </w:pPr>
            <w:bookmarkStart w:id="4" w:name="_heading=h.go9tm0drwslm"/>
            <w:bookmarkEnd w:id="4"/>
            <w:r>
              <w:rPr>
                <w:rFonts w:ascii="Marianne" w:hAnsi="Marianne"/>
                <w:sz w:val="20"/>
                <w:szCs w:val="20"/>
              </w:rPr>
              <w:t>Motif</w:t>
            </w:r>
          </w:p>
        </w:tc>
        <w:tc>
          <w:tcPr>
            <w:tcW w:w="4586" w:type="dxa"/>
            <w:tcBorders>
              <w:top w:val="single" w:sz="4" w:space="0" w:color="000000"/>
              <w:left w:val="single" w:sz="6" w:space="0" w:color="000000"/>
              <w:bottom w:val="single" w:sz="6" w:space="0" w:color="000000"/>
              <w:right w:val="single" w:sz="4" w:space="0" w:color="000000"/>
            </w:tcBorders>
            <w:vAlign w:val="center"/>
          </w:tcPr>
          <w:p>
            <w:pPr>
              <w:pStyle w:val="normal1"/>
              <w:keepLines/>
              <w:tabs>
                <w:tab w:val="clear" w:pos="720"/>
                <w:tab w:val="left" w:pos="567" w:leader="none"/>
                <w:tab w:val="left" w:pos="851" w:leader="none"/>
                <w:tab w:val="left" w:pos="1134" w:leader="none"/>
              </w:tabs>
              <w:suppressAutoHyphens w:val="false"/>
              <w:jc w:val="center"/>
              <w:rPr>
                <w:rFonts w:ascii="Marianne" w:hAnsi="Marianne"/>
                <w:sz w:val="20"/>
                <w:szCs w:val="20"/>
              </w:rPr>
            </w:pPr>
            <w:r>
              <w:rPr>
                <w:rFonts w:ascii="Marianne" w:hAnsi="Marianne"/>
                <w:sz w:val="20"/>
                <w:szCs w:val="20"/>
              </w:rPr>
              <w:t>Montant HT</w:t>
            </w:r>
          </w:p>
        </w:tc>
      </w:tr>
      <w:tr>
        <w:trPr>
          <w:trHeight w:val="782" w:hRule="atLeast"/>
        </w:trPr>
        <w:tc>
          <w:tcPr>
            <w:tcW w:w="5613" w:type="dxa"/>
            <w:tcBorders>
              <w:top w:val="single" w:sz="6" w:space="0" w:color="000000"/>
              <w:left w:val="single" w:sz="4" w:space="0" w:color="000000"/>
              <w:bottom w:val="single" w:sz="6" w:space="0" w:color="000000"/>
              <w:right w:val="single" w:sz="6" w:space="0" w:color="000000"/>
            </w:tcBorders>
            <w:vAlign w:val="center"/>
          </w:tcPr>
          <w:p>
            <w:pPr>
              <w:pStyle w:val="normal1"/>
              <w:keepLines/>
              <w:tabs>
                <w:tab w:val="clear" w:pos="720"/>
                <w:tab w:val="left" w:pos="567" w:leader="none"/>
                <w:tab w:val="left" w:pos="851" w:leader="none"/>
                <w:tab w:val="left" w:pos="1134" w:leader="none"/>
              </w:tabs>
              <w:suppressAutoHyphens w:val="false"/>
              <w:spacing w:lineRule="auto" w:line="276" w:before="0" w:after="0"/>
              <w:jc w:val="both"/>
              <w:rPr>
                <w:rFonts w:ascii="Marianne" w:hAnsi="Marianne"/>
                <w:sz w:val="20"/>
                <w:szCs w:val="20"/>
              </w:rPr>
            </w:pPr>
            <w:r>
              <w:rPr>
                <w:rFonts w:ascii="Marianne" w:hAnsi="Marianne"/>
                <w:sz w:val="20"/>
                <w:szCs w:val="20"/>
              </w:rPr>
              <w:t>Non-respect des objectifs minimum d’insertion précisés à l’article 3-2 du CCIS</w:t>
            </w:r>
          </w:p>
        </w:tc>
        <w:tc>
          <w:tcPr>
            <w:tcW w:w="4586" w:type="dxa"/>
            <w:tcBorders>
              <w:top w:val="single" w:sz="6" w:space="0" w:color="000000"/>
              <w:left w:val="single" w:sz="6" w:space="0" w:color="000000"/>
              <w:bottom w:val="single" w:sz="6" w:space="0" w:color="000000"/>
              <w:right w:val="single" w:sz="4" w:space="0" w:color="000000"/>
            </w:tcBorders>
            <w:vAlign w:val="center"/>
          </w:tcPr>
          <w:p>
            <w:pPr>
              <w:pStyle w:val="normal1"/>
              <w:keepLines/>
              <w:tabs>
                <w:tab w:val="clear" w:pos="720"/>
                <w:tab w:val="left" w:pos="567" w:leader="none"/>
                <w:tab w:val="left" w:pos="851" w:leader="none"/>
                <w:tab w:val="left" w:pos="1134" w:leader="none"/>
              </w:tabs>
              <w:suppressAutoHyphens w:val="false"/>
              <w:spacing w:lineRule="auto" w:line="276" w:before="0" w:after="0"/>
              <w:jc w:val="both"/>
              <w:rPr>
                <w:rFonts w:ascii="Marianne" w:hAnsi="Marianne"/>
                <w:sz w:val="20"/>
                <w:szCs w:val="20"/>
              </w:rPr>
            </w:pPr>
            <w:r>
              <w:rPr>
                <w:rFonts w:ascii="Marianne" w:hAnsi="Marianne"/>
                <w:b/>
                <w:bCs/>
                <w:sz w:val="20"/>
                <w:szCs w:val="20"/>
              </w:rPr>
              <w:t>50 Euros par heure non contractualisée</w:t>
            </w:r>
          </w:p>
        </w:tc>
      </w:tr>
      <w:tr>
        <w:trPr/>
        <w:tc>
          <w:tcPr>
            <w:tcW w:w="5613" w:type="dxa"/>
            <w:tcBorders>
              <w:top w:val="single" w:sz="6" w:space="0" w:color="000000"/>
              <w:left w:val="single" w:sz="4" w:space="0" w:color="000000"/>
              <w:bottom w:val="single" w:sz="6" w:space="0" w:color="000000"/>
              <w:right w:val="single" w:sz="6" w:space="0" w:color="000000"/>
            </w:tcBorders>
            <w:vAlign w:val="center"/>
          </w:tcPr>
          <w:p>
            <w:pPr>
              <w:pStyle w:val="normal1"/>
              <w:keepLines/>
              <w:tabs>
                <w:tab w:val="clear" w:pos="720"/>
                <w:tab w:val="left" w:pos="567" w:leader="none"/>
                <w:tab w:val="left" w:pos="851" w:leader="none"/>
                <w:tab w:val="left" w:pos="1134" w:leader="none"/>
              </w:tabs>
              <w:suppressAutoHyphens w:val="false"/>
              <w:spacing w:lineRule="auto" w:line="276" w:before="0" w:after="0"/>
              <w:jc w:val="both"/>
              <w:rPr>
                <w:rFonts w:ascii="Marianne" w:hAnsi="Marianne"/>
                <w:sz w:val="20"/>
                <w:szCs w:val="20"/>
              </w:rPr>
            </w:pPr>
            <w:r>
              <w:rPr>
                <w:rFonts w:ascii="Marianne" w:hAnsi="Marianne"/>
                <w:sz w:val="20"/>
                <w:szCs w:val="20"/>
              </w:rPr>
              <w:t>Absence ou refus ou retard de transmission des renseignements – article 6 – propres à permettre le contrôle de l’exécution de l’action</w:t>
            </w:r>
          </w:p>
        </w:tc>
        <w:tc>
          <w:tcPr>
            <w:tcW w:w="4586" w:type="dxa"/>
            <w:tcBorders>
              <w:top w:val="single" w:sz="6" w:space="0" w:color="000000"/>
              <w:left w:val="single" w:sz="6" w:space="0" w:color="000000"/>
              <w:bottom w:val="single" w:sz="6" w:space="0" w:color="000000"/>
              <w:right w:val="single" w:sz="4" w:space="0" w:color="000000"/>
            </w:tcBorders>
            <w:vAlign w:val="center"/>
          </w:tcPr>
          <w:p>
            <w:pPr>
              <w:pStyle w:val="normal1"/>
              <w:suppressAutoHyphens w:val="false"/>
              <w:jc w:val="both"/>
              <w:rPr>
                <w:rFonts w:ascii="Marianne" w:hAnsi="Marianne"/>
                <w:b/>
                <w:bCs/>
                <w:sz w:val="20"/>
                <w:szCs w:val="20"/>
              </w:rPr>
            </w:pPr>
            <w:r>
              <w:rPr>
                <w:rFonts w:ascii="Marianne" w:hAnsi="Marianne"/>
                <w:b/>
                <w:bCs/>
                <w:sz w:val="20"/>
                <w:szCs w:val="20"/>
              </w:rPr>
              <w:t>100 € nets de taxes/jour calendaire de retard.</w:t>
            </w:r>
          </w:p>
        </w:tc>
      </w:tr>
      <w:tr>
        <w:trPr/>
        <w:tc>
          <w:tcPr>
            <w:tcW w:w="5613" w:type="dxa"/>
            <w:tcBorders>
              <w:top w:val="single" w:sz="6" w:space="0" w:color="000000"/>
              <w:left w:val="single" w:sz="4" w:space="0" w:color="000000"/>
              <w:bottom w:val="single" w:sz="4" w:space="0" w:color="000000"/>
              <w:right w:val="single" w:sz="6" w:space="0" w:color="000000"/>
            </w:tcBorders>
            <w:vAlign w:val="center"/>
          </w:tcPr>
          <w:p>
            <w:pPr>
              <w:pStyle w:val="normal1"/>
              <w:keepLines/>
              <w:tabs>
                <w:tab w:val="clear" w:pos="720"/>
                <w:tab w:val="left" w:pos="567" w:leader="none"/>
                <w:tab w:val="left" w:pos="851" w:leader="none"/>
                <w:tab w:val="left" w:pos="1134" w:leader="none"/>
              </w:tabs>
              <w:suppressAutoHyphens w:val="false"/>
              <w:spacing w:lineRule="auto" w:line="276" w:before="0" w:after="0"/>
              <w:jc w:val="both"/>
              <w:rPr>
                <w:rFonts w:ascii="Marianne" w:hAnsi="Marianne"/>
                <w:sz w:val="20"/>
                <w:szCs w:val="20"/>
              </w:rPr>
            </w:pPr>
            <w:r>
              <w:rPr>
                <w:rFonts w:ascii="Marianne" w:hAnsi="Marianne"/>
                <w:sz w:val="20"/>
                <w:szCs w:val="20"/>
              </w:rPr>
              <w:t>Absence injustifiée à une réunion de suivi de l’exécution de la clause d’insertion</w:t>
            </w:r>
          </w:p>
        </w:tc>
        <w:tc>
          <w:tcPr>
            <w:tcW w:w="4586" w:type="dxa"/>
            <w:tcBorders>
              <w:top w:val="single" w:sz="6" w:space="0" w:color="000000"/>
              <w:left w:val="single" w:sz="6" w:space="0" w:color="000000"/>
              <w:bottom w:val="single" w:sz="4" w:space="0" w:color="000000"/>
              <w:right w:val="single" w:sz="4" w:space="0" w:color="000000"/>
            </w:tcBorders>
            <w:vAlign w:val="center"/>
          </w:tcPr>
          <w:p>
            <w:pPr>
              <w:pStyle w:val="normal1"/>
              <w:suppressAutoHyphens w:val="false"/>
              <w:jc w:val="both"/>
              <w:rPr>
                <w:rFonts w:ascii="Marianne" w:hAnsi="Marianne"/>
                <w:b/>
                <w:bCs/>
                <w:sz w:val="20"/>
                <w:szCs w:val="20"/>
              </w:rPr>
            </w:pPr>
            <w:r>
              <w:rPr>
                <w:rFonts w:ascii="Marianne" w:hAnsi="Marianne"/>
                <w:b/>
                <w:bCs/>
                <w:sz w:val="20"/>
                <w:szCs w:val="20"/>
              </w:rPr>
              <w:t>200 €</w:t>
            </w:r>
          </w:p>
        </w:tc>
      </w:tr>
    </w:tbl>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 xml:space="preserve">ARTICLE 8 – RÉSILIATION </w:t>
      </w:r>
    </w:p>
    <w:p>
      <w:pPr>
        <w:pStyle w:val="normal1"/>
        <w:suppressAutoHyphens w:val="false"/>
        <w:spacing w:before="57" w:after="57"/>
        <w:jc w:val="both"/>
        <w:rPr>
          <w:rFonts w:ascii="Marianne" w:hAnsi="Marianne"/>
          <w:sz w:val="20"/>
          <w:szCs w:val="20"/>
        </w:rPr>
      </w:pPr>
      <w:r>
        <w:rPr>
          <w:rFonts w:ascii="Marianne" w:hAnsi="Marianne"/>
          <w:sz w:val="20"/>
          <w:szCs w:val="20"/>
        </w:rPr>
        <w:t>En cas de manquement grave du titulaire à son engagement d’insertion, le maître d’ouvrage peut procéder à la résiliation du marché conformément à l’article 50 du C.C.A.P.</w:t>
      </w:r>
    </w:p>
    <w:p>
      <w:pPr>
        <w:pStyle w:val="normal1"/>
        <w:suppressAutoHyphens w:val="false"/>
        <w:spacing w:lineRule="auto" w:line="240" w:before="57" w:after="57"/>
        <w:jc w:val="both"/>
        <w:rPr>
          <w:rFonts w:ascii="Marianne" w:hAnsi="Marianne" w:eastAsia="Trebuchet MS" w:cs="Trebuchet MS"/>
          <w:b/>
          <w:bCs/>
          <w:color w:val="ED7D31"/>
          <w:sz w:val="20"/>
          <w:szCs w:val="20"/>
        </w:rPr>
      </w:pPr>
      <w:r>
        <w:rPr>
          <w:rFonts w:eastAsia="Trebuchet MS" w:cs="Trebuchet MS" w:ascii="Marianne" w:hAnsi="Marianne"/>
          <w:b/>
          <w:bCs/>
          <w:color w:val="ED7D31"/>
          <w:sz w:val="20"/>
          <w:szCs w:val="20"/>
        </w:rPr>
        <w:t>ARTICLE 9 – RÈGLEMENT GÉNÉRAL SUR LA PROTECTION DES DONNÉES (RGPD)</w:t>
      </w:r>
    </w:p>
    <w:p>
      <w:pPr>
        <w:pStyle w:val="normal1"/>
        <w:suppressAutoHyphens w:val="false"/>
        <w:spacing w:before="57" w:after="57"/>
        <w:jc w:val="both"/>
        <w:rPr>
          <w:rFonts w:ascii="Marianne" w:hAnsi="Marianne"/>
          <w:sz w:val="20"/>
          <w:szCs w:val="20"/>
        </w:rPr>
      </w:pPr>
      <w:r>
        <w:rPr>
          <w:rFonts w:ascii="Marianne" w:hAnsi="Marianne"/>
          <w:sz w:val="20"/>
          <w:szCs w:val="20"/>
        </w:rPr>
        <w:t>Le titulaire est informé que la gestion des données de ces bilans nominatifs sera confiée à la Maison de l’emploi et de la formation sud Ardèche. Ces données seront traitées dans le logiciel « ABC clause », développé par la société Cityzen du Groupe UP à la demande de l’Alliance Villes Emploi, qui a fait l’objet d’une déclaration à la CNIL.</w:t>
      </w:r>
    </w:p>
    <w:p>
      <w:pPr>
        <w:pStyle w:val="normal1"/>
        <w:suppressAutoHyphens w:val="false"/>
        <w:spacing w:before="57" w:after="57"/>
        <w:jc w:val="both"/>
        <w:rPr>
          <w:rFonts w:ascii="Marianne" w:hAnsi="Marianne"/>
          <w:sz w:val="20"/>
          <w:szCs w:val="20"/>
        </w:rPr>
      </w:pPr>
      <w:r>
        <w:rPr>
          <w:rFonts w:ascii="Marianne" w:hAnsi="Marianne"/>
          <w:sz w:val="20"/>
          <w:szCs w:val="20"/>
        </w:rPr>
        <w:t>A ce titre, les bénéficiaires, les représentants de l’entreprise, les représentants du Donneur d’ordre, les représentants de tous les partenaires impliquées dans la mise en application de la clause sont informés que les informations recueillies sont enregistrées dans un fichier informatisé pour réaliser le suivi dans le cadre du dispositif clause d’insertion. La Maison de l’emploi et de la formation sud Ardèche est responsable du traitement des données collectées. Les données sont conservées :</w:t>
      </w:r>
    </w:p>
    <w:p>
      <w:pPr>
        <w:pStyle w:val="normal1"/>
        <w:keepNext w:val="false"/>
        <w:keepLines w:val="false"/>
        <w:widowControl/>
        <w:numPr>
          <w:ilvl w:val="0"/>
          <w:numId w:val="1"/>
        </w:numPr>
        <w:suppressAutoHyphens w:val="false"/>
        <w:spacing w:lineRule="auto" w:line="240" w:before="57" w:after="57"/>
        <w:ind w:hanging="360" w:left="720"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Dans le cadre de la charte insertion NPNRU, ces informations devront être conservées jusqu’en 2028 inclus.</w:t>
      </w:r>
    </w:p>
    <w:p>
      <w:pPr>
        <w:pStyle w:val="normal1"/>
        <w:keepNext w:val="false"/>
        <w:keepLines w:val="false"/>
        <w:pageBreakBefore w:val="false"/>
        <w:widowControl/>
        <w:numPr>
          <w:ilvl w:val="0"/>
          <w:numId w:val="1"/>
        </w:numPr>
        <w:suppressAutoHyphens w:val="false"/>
        <w:spacing w:lineRule="auto" w:line="240" w:before="57" w:after="57"/>
        <w:ind w:hanging="360" w:left="720" w:right="0"/>
        <w:jc w:val="both"/>
        <w:rPr>
          <w:rFonts w:ascii="Marianne" w:hAnsi="Marianne"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ascii="Marianne" w:hAnsi="Marianne"/>
          <w:b w:val="false"/>
          <w:bCs w:val="false"/>
          <w:i w:val="false"/>
          <w:iCs w:val="false"/>
          <w:caps w:val="false"/>
          <w:smallCaps w:val="false"/>
          <w:strike w:val="false"/>
          <w:dstrike w:val="false"/>
          <w:color w:val="000000"/>
          <w:position w:val="0"/>
          <w:sz w:val="20"/>
          <w:sz w:val="20"/>
          <w:szCs w:val="20"/>
          <w:u w:val="none"/>
          <w:shd w:fill="auto" w:val="clear"/>
          <w:vertAlign w:val="baseline"/>
        </w:rPr>
        <w:t>En l’absence de positionnement sur un emploi, les données seront conservées 6 mois maximum.</w:t>
      </w:r>
    </w:p>
    <w:p>
      <w:pPr>
        <w:pStyle w:val="normal1"/>
        <w:suppressAutoHyphens w:val="false"/>
        <w:spacing w:before="57" w:after="57"/>
        <w:jc w:val="both"/>
        <w:rPr>
          <w:rFonts w:ascii="Marianne" w:hAnsi="Marianne"/>
          <w:sz w:val="20"/>
          <w:szCs w:val="20"/>
        </w:rPr>
      </w:pPr>
      <w:r>
        <w:rPr>
          <w:rFonts w:ascii="Marianne" w:hAnsi="Marianne"/>
          <w:sz w:val="20"/>
          <w:szCs w:val="20"/>
        </w:rPr>
        <w:t>Ces données sont destinées au service des clauses d’insertion et aux organismes partenaires emploi – insertion susceptibles d’intervenir et d’accompagner les démarches.</w:t>
      </w:r>
    </w:p>
    <w:p>
      <w:pPr>
        <w:pStyle w:val="normal1"/>
        <w:suppressAutoHyphens w:val="false"/>
        <w:spacing w:before="57" w:after="57"/>
        <w:jc w:val="both"/>
        <w:rPr/>
      </w:pPr>
      <w:r>
        <w:rPr>
          <w:rFonts w:ascii="Marianne" w:hAnsi="Marianne"/>
          <w:sz w:val="20"/>
          <w:szCs w:val="20"/>
        </w:rPr>
        <w:t xml:space="preserve">Il est possible à tout moment de demander l’accès, la rectification, l’effacement, la portabilité ou la limitation des données vous concernant, ou vous opposer à leur traitement, en contactant le délégué à la protection des données par mél à : </w:t>
      </w:r>
      <w:hyperlink r:id="rId6">
        <w:r>
          <w:rPr>
            <w:rStyle w:val="Style"/>
            <w:rFonts w:ascii="Marianne" w:hAnsi="Marianne"/>
            <w:color w:val="1155CC"/>
            <w:sz w:val="20"/>
            <w:szCs w:val="20"/>
            <w:u w:val="single"/>
          </w:rPr>
          <w:t>direction@mdef-sudardeche.fr</w:t>
        </w:r>
      </w:hyperlink>
      <w:r>
        <w:rPr>
          <w:rFonts w:ascii="Marianne" w:hAnsi="Marianne"/>
          <w:sz w:val="20"/>
          <w:szCs w:val="20"/>
        </w:rPr>
        <w:t xml:space="preserve"> ou par courrier : à l’attention du délégué à la protection des données, Maison de l’emploi et de la formation sud Ardèche, 40 chemin de la fontaine de Cheyron 07 200 AUBENAS.</w:t>
      </w:r>
    </w:p>
    <w:p>
      <w:pPr>
        <w:pStyle w:val="normal1"/>
        <w:suppressAutoHyphens w:val="false"/>
        <w:spacing w:before="57" w:after="57"/>
        <w:jc w:val="both"/>
        <w:rPr>
          <w:rFonts w:ascii="Marianne" w:hAnsi="Marianne"/>
          <w:sz w:val="20"/>
          <w:szCs w:val="20"/>
        </w:rPr>
      </w:pPr>
      <w:r>
        <w:rPr>
          <w:rFonts w:ascii="Marianne" w:hAnsi="Marianne"/>
          <w:sz w:val="20"/>
          <w:szCs w:val="20"/>
        </w:rPr>
        <w:t>Toute personne estimant que le droit à la protection de ses données n’est pas assuré, peut introduire une réclamation auprès de la Commission Nationale de l’Informatique et des Libertés (CNIL), 3 Place de Fontenoy – TSA 80715 – 75 334 PARIS CEDEX 07. La non-fourniture ou la non-autorisation de la transmission de ces informations entraînera l’impossibilité de donner une suite à ce positionnement.</w:t>
      </w:r>
    </w:p>
    <w:sectPr>
      <w:headerReference w:type="even" r:id="rId7"/>
      <w:headerReference w:type="default" r:id="rId8"/>
      <w:headerReference w:type="first" r:id="rId9"/>
      <w:footerReference w:type="even" r:id="rId10"/>
      <w:footerReference w:type="default" r:id="rId11"/>
      <w:footerReference w:type="first" r:id="rId12"/>
      <w:type w:val="nextPage"/>
      <w:pgSz w:w="11906" w:h="16838"/>
      <w:pgMar w:left="720" w:right="992" w:gutter="0" w:header="1701" w:top="1758" w:footer="0" w:bottom="72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font>
  <w:font w:name="Arial">
    <w:charset w:val="00"/>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Liberation Serif">
    <w:altName w:val="Times New Roman"/>
    <w:charset w:val="01"/>
    <w:family w:val="roman"/>
    <w:pitch w:val="variable"/>
    <w:embedRegular r:id="rId9" w:fontKey="{09014A78-CABC-4EF0-12AC-5CD89AEFDE09}"/>
    <w:embedBold r:id="rId10" w:fontKey="{0A014A78-CABC-4EF0-12AC-5CD89AEFDE0A}"/>
    <w:embedItalic r:id="rId11" w:fontKey="{0B014A78-CABC-4EF0-12AC-5CD89AEFDE0B}"/>
    <w:embedBoldItalic r:id="rId12" w:fontKey="{0C014A78-CABC-4EF0-12AC-5CD89AEFDE0C}"/>
  </w:font>
  <w:font w:name="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Calibri">
    <w:charset w:val="01"/>
    <w:family w:val="auto"/>
    <w:pitch w:val="variable"/>
  </w:font>
  <w:font w:name="Arial">
    <w:charset w:val="01"/>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Tahoma">
    <w:charset w:val="01"/>
    <w:family w:val="roman"/>
    <w:pitch w:val="variable"/>
  </w:font>
  <w:font w:name="Liberation Sans">
    <w:altName w:val="Arial"/>
    <w:charset w:val="01"/>
    <w:family w:val="swiss"/>
    <w:pitch w:val="variable"/>
    <w:embedRegular r:id="rId13" w:fontKey="{0D014A78-CABC-4EF0-12AC-5CD89AEFDE0D}"/>
    <w:embedBold r:id="rId14" w:fontKey="{0E014A78-CABC-4EF0-12AC-5CD89AEFDE0E}"/>
    <w:embedItalic r:id="rId15" w:fontKey="{0F014A78-CABC-4EF0-12AC-5CD89AEFDE0F}"/>
    <w:embedBoldItalic r:id="rId16" w:fontKey="{10014A78-CABC-4EF0-12AC-5CD89AEFDE10}"/>
  </w:font>
  <w:font w:name="Georgia">
    <w:charset w:val="01"/>
    <w:family w:val="auto"/>
    <w:pitch w:val="variable"/>
    <w:embedRegular r:id="rId17" w:fontKey="{11014A78-CABC-4EF0-12AC-5CD89AEFDE11}"/>
    <w:embedBold r:id="rId18" w:fontKey="{12014A78-CABC-4EF0-12AC-5CD89AEFDE12}"/>
    <w:embedItalic r:id="rId19" w:fontKey="{13014A78-CABC-4EF0-12AC-5CD89AEFDE13}"/>
    <w:embedBoldItalic r:id="rId20" w:fontKey="{14014A78-CABC-4EF0-12AC-5CD89AEFDE14}"/>
  </w:font>
  <w:font w:name="Marianne">
    <w:charset w:val="01"/>
    <w:family w:val="auto"/>
    <w:pitch w:val="variable"/>
    <w:embedRegular r:id="rId21" w:fontKey="{15014A78-CABC-4EF0-12AC-5CD89AEFDE15}"/>
    <w:embedBold r:id="rId22" w:fontKey="{16014A78-CABC-4EF0-12AC-5CD89AEFDE16}"/>
  </w:font>
  <w:font w:name="Noto Sans Symbols">
    <w:charset w:val="01"/>
    <w:family w:val="swiss"/>
    <w:pitch w:val="default"/>
    <w:embedRegular r:id="rId23" w:fontKey="{17014A78-CABC-4EF0-12AC-5CD89AEFDE17}"/>
    <w:embedBold r:id="rId24" w:fontKey="{18014A78-CABC-4EF0-12AC-5CD89AEFDE18}"/>
    <w:embedItalic r:id="rId25" w:fontKey="{19014A78-CABC-4EF0-12AC-5CD89AEFDE19}"/>
  </w:font>
  <w:font w:name="OpenSymbol">
    <w:altName w:val="Arial Unicode MS"/>
    <w:charset w:val="01"/>
    <w:family w:val="auto"/>
    <w:pitch w:val="variable"/>
    <w:embedRegular r:id="rId26" w:fontKey="{1A014A78-CABC-4EF0-12AC-5CD89AEFDE1A}"/>
  </w:font>
  <w:font w:name="Courier New">
    <w:charset w:val="01"/>
    <w:family w:val="modern"/>
    <w:pitch w:val="fixed"/>
    <w:embedRegular r:id="rId27" w:fontKey="{1B014A78-CABC-4EF0-12AC-5CD89AEFDE1B}"/>
    <w:embedBold r:id="rId28" w:fontKey="{1C014A78-CABC-4EF0-12AC-5CD89AEFDE1C}"/>
    <w:embedItalic r:id="rId29" w:fontKey="{1D014A78-CABC-4EF0-12AC-5CD89AEFDE1D}"/>
    <w:embedBoldItalic r:id="rId30" w:fontKey="{1E014A78-CABC-4EF0-12AC-5CD89AEFDE1E}"/>
  </w:font>
  <w:font w:name="Garamond">
    <w:charset w:val="01"/>
    <w:family w:val="roman"/>
    <w:pitch w:val="default"/>
    <w:embedRegular r:id="rId31" w:fontKey="{1F014A78-CABC-4EF0-12AC-5CD89AEFDE1F}"/>
    <w:embedBold r:id="rId32" w:fontKey="{20014A78-CABC-4EF0-12AC-5CD89AEFDE20}"/>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spacing w:lineRule="auto" w:line="240" w:before="0" w:after="120"/>
      <w:ind w:right="142"/>
      <w:jc w:val="left"/>
      <w:rPr>
        <w:rFonts w:ascii="Marianne" w:hAnsi="Marianne"/>
        <w:sz w:val="16"/>
        <w:szCs w:val="16"/>
      </w:rPr>
    </w:pPr>
    <w:bookmarkStart w:id="5" w:name="_heading=h.58znr9w8vaoh"/>
    <w:bookmarkEnd w:id="5"/>
    <w:r>
      <w:rPr>
        <w:rFonts w:ascii="Marianne" w:hAnsi="Marianne"/>
        <w:sz w:val="16"/>
        <w:szCs w:val="16"/>
      </w:rPr>
      <w:t xml:space="preserve">CCIS – </w:t>
      <w:tab/>
      <w:tab/>
      <w:t>Opération «</w:t>
    </w:r>
    <w:r>
      <w:rPr>
        <w:rFonts w:ascii="Marianne" w:hAnsi="Marianne"/>
        <w:b/>
        <w:bCs/>
        <w:sz w:val="16"/>
        <w:szCs w:val="16"/>
      </w:rPr>
      <w:t>Largentière – Rénovation chaufferie principale caserne de gendarmerie </w:t>
    </w:r>
    <w:r>
      <w:rPr>
        <w:rFonts w:ascii="Marianne" w:hAnsi="Marianne"/>
        <w:sz w:val="16"/>
        <w:szCs w:val="16"/>
      </w:rPr>
      <w:t xml:space="preserve">» </w:t>
      <w:tab/>
      <w:tab/>
    </w:r>
    <w:r>
      <w:rPr>
        <w:rFonts w:eastAsia="Times New Roman" w:cs="Times New Roman" w:ascii="Marianne" w:hAnsi="Marianne"/>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Page </w:t>
    </w:r>
    <w:r>
      <w:rPr>
        <w:rFonts w:ascii="Marianne" w:hAnsi="Marianne"/>
        <w:sz w:val="16"/>
        <w:szCs w:val="16"/>
      </w:rPr>
      <w:fldChar w:fldCharType="begin"/>
    </w:r>
    <w:r>
      <w:rPr>
        <w:sz w:val="16"/>
        <w:szCs w:val="16"/>
        <w:rFonts w:ascii="Marianne" w:hAnsi="Marianne"/>
      </w:rPr>
      <w:instrText xml:space="preserve"> PAGE </w:instrText>
    </w:r>
    <w:r>
      <w:rPr>
        <w:sz w:val="16"/>
        <w:szCs w:val="16"/>
        <w:rFonts w:ascii="Marianne" w:hAnsi="Marianne"/>
      </w:rPr>
      <w:fldChar w:fldCharType="separate"/>
    </w:r>
    <w:r>
      <w:rPr>
        <w:sz w:val="16"/>
        <w:szCs w:val="16"/>
        <w:rFonts w:ascii="Marianne" w:hAnsi="Marianne"/>
      </w:rPr>
      <w:t>6</w:t>
    </w:r>
    <w:r>
      <w:rPr>
        <w:sz w:val="16"/>
        <w:szCs w:val="16"/>
        <w:rFonts w:ascii="Marianne" w:hAnsi="Marianne"/>
      </w:rPr>
      <w:fldChar w:fldCharType="end"/>
    </w:r>
    <w:r>
      <w:rPr>
        <w:rFonts w:eastAsia="Times New Roman" w:cs="Times New Roman" w:ascii="Marianne" w:hAnsi="Marianne"/>
        <w:b w:val="false"/>
        <w:bCs w:val="false"/>
        <w:i w:val="false"/>
        <w:iCs w:val="false"/>
        <w:caps w:val="false"/>
        <w:smallCaps w:val="false"/>
        <w:strike w:val="false"/>
        <w:dstrike w:val="false"/>
        <w:color w:val="000000"/>
        <w:position w:val="0"/>
        <w:sz w:val="16"/>
        <w:sz w:val="16"/>
        <w:szCs w:val="16"/>
        <w:u w:val="none"/>
        <w:shd w:fill="auto" w:val="clear"/>
        <w:vertAlign w:val="baseline"/>
      </w:rPr>
      <w:t>/</w:t>
    </w:r>
    <w:r>
      <w:rPr>
        <w:rFonts w:ascii="Marianne" w:hAnsi="Marianne"/>
        <w:sz w:val="16"/>
        <w:szCs w:val="16"/>
      </w:rPr>
      <w:fldChar w:fldCharType="begin"/>
    </w:r>
    <w:r>
      <w:rPr>
        <w:sz w:val="16"/>
        <w:szCs w:val="16"/>
        <w:rFonts w:ascii="Marianne" w:hAnsi="Marianne"/>
      </w:rPr>
      <w:instrText xml:space="preserve"> NUMPAGES </w:instrText>
    </w:r>
    <w:r>
      <w:rPr>
        <w:sz w:val="16"/>
        <w:szCs w:val="16"/>
        <w:rFonts w:ascii="Marianne" w:hAnsi="Marianne"/>
      </w:rPr>
      <w:fldChar w:fldCharType="separate"/>
    </w:r>
    <w:r>
      <w:rPr>
        <w:sz w:val="16"/>
        <w:szCs w:val="16"/>
        <w:rFonts w:ascii="Marianne" w:hAnsi="Marianne"/>
      </w:rPr>
      <w:t>7</w:t>
    </w:r>
    <w:r>
      <w:rPr>
        <w:sz w:val="16"/>
        <w:szCs w:val="16"/>
        <w:rFonts w:ascii="Marianne" w:hAnsi="Marianne"/>
      </w:rPr>
      <w:fldChar w:fldCharType="end"/>
    </w:r>
  </w:p>
  <w:p>
    <w:pPr>
      <w:pStyle w:val="normal1"/>
      <w:keepNext w:val="false"/>
      <w:keepLines w:val="false"/>
      <w:widowControl/>
      <w:tabs>
        <w:tab w:val="clear" w:pos="720"/>
        <w:tab w:val="center" w:pos="4536" w:leader="none"/>
        <w:tab w:val="right" w:pos="9072" w:leader="none"/>
        <w:tab w:val="right" w:pos="10206" w:leader="none"/>
      </w:tabs>
      <w:spacing w:lineRule="auto" w:line="240" w:before="0" w:after="0"/>
      <w:ind w:hanging="0" w:left="360" w:right="0"/>
      <w:jc w:val="both"/>
      <w:rPr>
        <w:rFonts w:ascii="Marianne" w:hAnsi="Marianne"/>
        <w:sz w:val="16"/>
        <w:szCs w:val="16"/>
      </w:rPr>
    </w:pP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t xml:space="preserve">Ce document est la propriété de la Maison de l’emploi et de la formation sud Ardèche. L'article L.122.4 du Code de la Propriété Intellectuelle prévoit </w:t>
    </w:r>
    <w:r>
      <w:rPr>
        <w:rFonts w:ascii="Marianne" w:hAnsi="Marianne"/>
        <w:i/>
        <w:iCs/>
        <w:sz w:val="16"/>
        <w:szCs w:val="16"/>
      </w:rPr>
      <w:t>que toute</w:t>
    </w: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t xml:space="preserve"> représentation ou reproduction intégrale ou partielle faite sans le consentement de l 'auteur est illicite. Un tel acte est constitutif de contrefaçon. Le titulaire des droits d'auteur sur une œuvre reproduite sans autorisation peut demander non seulement le retrait du contenu dont il est auteur, mais aussi l'allocation de dommages et intérêts'.</w:t>
    </w:r>
  </w:p>
  <w:p>
    <w:pPr>
      <w:pStyle w:val="normal1"/>
      <w:keepNext w:val="false"/>
      <w:keepLines w:val="false"/>
      <w:widowControl/>
      <w:tabs>
        <w:tab w:val="clear" w:pos="720"/>
        <w:tab w:val="center" w:pos="4536" w:leader="none"/>
        <w:tab w:val="right" w:pos="9072" w:leader="none"/>
        <w:tab w:val="right" w:pos="10206" w:leader="none"/>
      </w:tabs>
      <w:spacing w:lineRule="auto" w:line="240" w:before="0" w:after="0"/>
      <w:ind w:hanging="0" w:left="360" w:right="0"/>
      <w:jc w:val="center"/>
      <w:rPr>
        <w:rFonts w:ascii="Marianne" w:hAnsi="Marianne" w:eastAsia="Times New Roman" w:cs="Times New Roman"/>
        <w:b w:val="false"/>
        <w:bCs w:val="false"/>
        <w:i/>
        <w:i/>
        <w:iCs/>
        <w:caps w:val="false"/>
        <w:smallCaps w:val="false"/>
        <w:strike w:val="false"/>
        <w:dstrike w:val="false"/>
        <w:color w:val="000000"/>
        <w:position w:val="0"/>
        <w:sz w:val="16"/>
        <w:sz w:val="16"/>
        <w:szCs w:val="16"/>
        <w:u w:val="none"/>
        <w:shd w:fill="auto" w:val="clear"/>
        <w:vertAlign w:val="baseline"/>
      </w:rPr>
    </w:pP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spacing w:lineRule="auto" w:line="240" w:before="0" w:after="120"/>
      <w:ind w:right="142"/>
      <w:jc w:val="left"/>
      <w:rPr>
        <w:rFonts w:ascii="Marianne" w:hAnsi="Marianne"/>
        <w:sz w:val="16"/>
        <w:szCs w:val="16"/>
      </w:rPr>
    </w:pPr>
    <w:bookmarkStart w:id="6" w:name="_heading=h.58znr9w8vaoh"/>
    <w:bookmarkEnd w:id="6"/>
    <w:r>
      <w:rPr>
        <w:rFonts w:ascii="Marianne" w:hAnsi="Marianne"/>
        <w:sz w:val="16"/>
        <w:szCs w:val="16"/>
      </w:rPr>
      <w:t xml:space="preserve">CCIS – </w:t>
      <w:tab/>
      <w:tab/>
      <w:t>Opération «</w:t>
    </w:r>
    <w:r>
      <w:rPr>
        <w:rFonts w:ascii="Marianne" w:hAnsi="Marianne"/>
        <w:b/>
        <w:bCs/>
        <w:sz w:val="16"/>
        <w:szCs w:val="16"/>
      </w:rPr>
      <w:t>Largentière – Rénovation chaufferie principale caserne de gendarmerie </w:t>
    </w:r>
    <w:r>
      <w:rPr>
        <w:rFonts w:ascii="Marianne" w:hAnsi="Marianne"/>
        <w:sz w:val="16"/>
        <w:szCs w:val="16"/>
      </w:rPr>
      <w:t xml:space="preserve">» </w:t>
      <w:tab/>
      <w:tab/>
    </w:r>
    <w:r>
      <w:rPr>
        <w:rFonts w:eastAsia="Times New Roman" w:cs="Times New Roman" w:ascii="Marianne" w:hAnsi="Marianne"/>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Page </w:t>
    </w:r>
    <w:r>
      <w:rPr>
        <w:rFonts w:ascii="Marianne" w:hAnsi="Marianne"/>
        <w:sz w:val="16"/>
        <w:szCs w:val="16"/>
      </w:rPr>
      <w:fldChar w:fldCharType="begin"/>
    </w:r>
    <w:r>
      <w:rPr>
        <w:sz w:val="16"/>
        <w:szCs w:val="16"/>
        <w:rFonts w:ascii="Marianne" w:hAnsi="Marianne"/>
      </w:rPr>
      <w:instrText xml:space="preserve"> PAGE </w:instrText>
    </w:r>
    <w:r>
      <w:rPr>
        <w:sz w:val="16"/>
        <w:szCs w:val="16"/>
        <w:rFonts w:ascii="Marianne" w:hAnsi="Marianne"/>
      </w:rPr>
      <w:fldChar w:fldCharType="separate"/>
    </w:r>
    <w:r>
      <w:rPr>
        <w:sz w:val="16"/>
        <w:szCs w:val="16"/>
        <w:rFonts w:ascii="Marianne" w:hAnsi="Marianne"/>
      </w:rPr>
      <w:t>6</w:t>
    </w:r>
    <w:r>
      <w:rPr>
        <w:sz w:val="16"/>
        <w:szCs w:val="16"/>
        <w:rFonts w:ascii="Marianne" w:hAnsi="Marianne"/>
      </w:rPr>
      <w:fldChar w:fldCharType="end"/>
    </w:r>
    <w:r>
      <w:rPr>
        <w:rFonts w:eastAsia="Times New Roman" w:cs="Times New Roman" w:ascii="Marianne" w:hAnsi="Marianne"/>
        <w:b w:val="false"/>
        <w:bCs w:val="false"/>
        <w:i w:val="false"/>
        <w:iCs w:val="false"/>
        <w:caps w:val="false"/>
        <w:smallCaps w:val="false"/>
        <w:strike w:val="false"/>
        <w:dstrike w:val="false"/>
        <w:color w:val="000000"/>
        <w:position w:val="0"/>
        <w:sz w:val="16"/>
        <w:sz w:val="16"/>
        <w:szCs w:val="16"/>
        <w:u w:val="none"/>
        <w:shd w:fill="auto" w:val="clear"/>
        <w:vertAlign w:val="baseline"/>
      </w:rPr>
      <w:t>/</w:t>
    </w:r>
    <w:r>
      <w:rPr>
        <w:rFonts w:ascii="Marianne" w:hAnsi="Marianne"/>
        <w:sz w:val="16"/>
        <w:szCs w:val="16"/>
      </w:rPr>
      <w:fldChar w:fldCharType="begin"/>
    </w:r>
    <w:r>
      <w:rPr>
        <w:sz w:val="16"/>
        <w:szCs w:val="16"/>
        <w:rFonts w:ascii="Marianne" w:hAnsi="Marianne"/>
      </w:rPr>
      <w:instrText xml:space="preserve"> NUMPAGES </w:instrText>
    </w:r>
    <w:r>
      <w:rPr>
        <w:sz w:val="16"/>
        <w:szCs w:val="16"/>
        <w:rFonts w:ascii="Marianne" w:hAnsi="Marianne"/>
      </w:rPr>
      <w:fldChar w:fldCharType="separate"/>
    </w:r>
    <w:r>
      <w:rPr>
        <w:sz w:val="16"/>
        <w:szCs w:val="16"/>
        <w:rFonts w:ascii="Marianne" w:hAnsi="Marianne"/>
      </w:rPr>
      <w:t>7</w:t>
    </w:r>
    <w:r>
      <w:rPr>
        <w:sz w:val="16"/>
        <w:szCs w:val="16"/>
        <w:rFonts w:ascii="Marianne" w:hAnsi="Marianne"/>
      </w:rPr>
      <w:fldChar w:fldCharType="end"/>
    </w:r>
  </w:p>
  <w:p>
    <w:pPr>
      <w:pStyle w:val="normal1"/>
      <w:keepNext w:val="false"/>
      <w:keepLines w:val="false"/>
      <w:widowControl/>
      <w:tabs>
        <w:tab w:val="clear" w:pos="720"/>
        <w:tab w:val="center" w:pos="4536" w:leader="none"/>
        <w:tab w:val="right" w:pos="9072" w:leader="none"/>
        <w:tab w:val="right" w:pos="10206" w:leader="none"/>
      </w:tabs>
      <w:spacing w:lineRule="auto" w:line="240" w:before="0" w:after="0"/>
      <w:ind w:hanging="0" w:left="360" w:right="0"/>
      <w:jc w:val="both"/>
      <w:rPr>
        <w:rFonts w:ascii="Marianne" w:hAnsi="Marianne"/>
        <w:sz w:val="16"/>
        <w:szCs w:val="16"/>
      </w:rPr>
    </w:pP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t xml:space="preserve">Ce document est la propriété de la Maison de l’emploi et de la formation sud Ardèche. L'article L.122.4 du Code de la Propriété Intellectuelle prévoit </w:t>
    </w:r>
    <w:r>
      <w:rPr>
        <w:rFonts w:ascii="Marianne" w:hAnsi="Marianne"/>
        <w:i/>
        <w:iCs/>
        <w:sz w:val="16"/>
        <w:szCs w:val="16"/>
      </w:rPr>
      <w:t>que toute</w:t>
    </w: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t xml:space="preserve"> représentation ou reproduction intégrale ou partielle faite sans le consentement de l 'auteur est illicite. Un tel acte est constitutif de contrefaçon. Le titulaire des droits d'auteur sur une œuvre reproduite sans autorisation peut demander non seulement le retrait du contenu dont il est auteur, mais aussi l'allocation de dommages et intérêts'.</w:t>
    </w:r>
  </w:p>
  <w:p>
    <w:pPr>
      <w:pStyle w:val="normal1"/>
      <w:keepNext w:val="false"/>
      <w:keepLines w:val="false"/>
      <w:widowControl/>
      <w:tabs>
        <w:tab w:val="clear" w:pos="720"/>
        <w:tab w:val="center" w:pos="4536" w:leader="none"/>
        <w:tab w:val="right" w:pos="9072" w:leader="none"/>
        <w:tab w:val="right" w:pos="10206" w:leader="none"/>
      </w:tabs>
      <w:spacing w:lineRule="auto" w:line="240" w:before="0" w:after="0"/>
      <w:ind w:hanging="0" w:left="360" w:right="0"/>
      <w:jc w:val="center"/>
      <w:rPr>
        <w:rFonts w:ascii="Marianne" w:hAnsi="Marianne" w:eastAsia="Times New Roman" w:cs="Times New Roman"/>
        <w:b w:val="false"/>
        <w:bCs w:val="false"/>
        <w:i/>
        <w:i/>
        <w:iCs/>
        <w:caps w:val="false"/>
        <w:smallCaps w:val="false"/>
        <w:strike w:val="false"/>
        <w:dstrike w:val="false"/>
        <w:color w:val="000000"/>
        <w:position w:val="0"/>
        <w:sz w:val="16"/>
        <w:sz w:val="16"/>
        <w:szCs w:val="16"/>
        <w:u w:val="none"/>
        <w:shd w:fill="auto" w:val="clear"/>
        <w:vertAlign w:val="baseline"/>
      </w:rPr>
    </w:pPr>
    <w:r>
      <w:rPr>
        <w:rFonts w:eastAsia="Times New Roman" w:cs="Times New Roman" w:ascii="Marianne" w:hAnsi="Marianne"/>
        <w:b w:val="false"/>
        <w:bCs w:val="false"/>
        <w:i/>
        <w:iCs/>
        <w:caps w:val="false"/>
        <w:smallCaps w:val="false"/>
        <w:strike w:val="false"/>
        <w:dstrike w:val="false"/>
        <w:color w:val="000000"/>
        <w:position w:val="0"/>
        <w:sz w:val="16"/>
        <w:sz w:val="16"/>
        <w:szCs w:val="16"/>
        <w:u w:val="none"/>
        <w:shd w:fill="auto" w:val="clear"/>
        <w:vertAlign w:val="baselin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tabs>
        <w:tab w:val="clear" w:pos="720"/>
        <w:tab w:val="center" w:pos="4536" w:leader="none"/>
        <w:tab w:val="right" w:pos="9072" w:leader="none"/>
      </w:tabs>
      <w:spacing w:lineRule="auto" w:line="240" w:before="0" w:after="0"/>
      <w:ind w:hanging="0" w:left="0" w:right="0"/>
      <w:jc w:val="lef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4"/>
        <w:sz w:val="24"/>
        <w:szCs w:val="24"/>
        <w:u w:val="none"/>
        <w:shd w:fill="auto" w:val="clear"/>
        <w:vertAlign w:val="baseline"/>
      </w:rPr>
      <w:drawing>
        <wp:anchor behindDoc="1" distT="0" distB="0" distL="114300" distR="114300" simplePos="0" locked="0" layoutInCell="0" allowOverlap="1" relativeHeight="8">
          <wp:simplePos x="0" y="0"/>
          <wp:positionH relativeFrom="column">
            <wp:posOffset>90170</wp:posOffset>
          </wp:positionH>
          <wp:positionV relativeFrom="paragraph">
            <wp:posOffset>-889635</wp:posOffset>
          </wp:positionV>
          <wp:extent cx="6293485" cy="1043305"/>
          <wp:effectExtent l="0" t="0" r="0" b="0"/>
          <wp:wrapSquare wrapText="bothSides"/>
          <wp:docPr id="2" name="image1.jpg"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Une image contenant texte, capture d’écran, Police&#10;&#10;Description générée automatiquement"/>
                  <pic:cNvPicPr>
                    <a:picLocks noChangeAspect="1" noChangeArrowheads="1"/>
                  </pic:cNvPicPr>
                </pic:nvPicPr>
                <pic:blipFill>
                  <a:blip r:embed="rId1"/>
                  <a:stretch>
                    <a:fillRect/>
                  </a:stretch>
                </pic:blipFill>
                <pic:spPr bwMode="auto">
                  <a:xfrm>
                    <a:off x="0" y="0"/>
                    <a:ext cx="6293485" cy="1043305"/>
                  </a:xfrm>
                  <a:prstGeom prst="rect">
                    <a:avLst/>
                  </a:prstGeom>
                  <a:noFill/>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tabs>
        <w:tab w:val="clear" w:pos="720"/>
        <w:tab w:val="center" w:pos="4536" w:leader="none"/>
        <w:tab w:val="right" w:pos="9072" w:leader="none"/>
      </w:tabs>
      <w:spacing w:lineRule="auto" w:line="240" w:before="0" w:after="0"/>
      <w:ind w:hanging="0" w:left="0" w:right="0"/>
      <w:jc w:val="lef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4"/>
        <w:sz w:val="24"/>
        <w:szCs w:val="24"/>
        <w:u w:val="none"/>
        <w:shd w:fill="auto" w:val="clear"/>
        <w:vertAlign w:val="baseline"/>
      </w:rPr>
      <w:drawing>
        <wp:anchor behindDoc="1" distT="0" distB="0" distL="114300" distR="114300" simplePos="0" locked="0" layoutInCell="0" allowOverlap="1" relativeHeight="8">
          <wp:simplePos x="0" y="0"/>
          <wp:positionH relativeFrom="column">
            <wp:posOffset>90170</wp:posOffset>
          </wp:positionH>
          <wp:positionV relativeFrom="paragraph">
            <wp:posOffset>-889635</wp:posOffset>
          </wp:positionV>
          <wp:extent cx="6293485" cy="1043305"/>
          <wp:effectExtent l="0" t="0" r="0" b="0"/>
          <wp:wrapSquare wrapText="bothSides"/>
          <wp:docPr id="3" name="image1.jpg"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g" descr="Une image contenant texte, capture d’écran, Police&#10;&#10;Description générée automatiquement"/>
                  <pic:cNvPicPr>
                    <a:picLocks noChangeAspect="1" noChangeArrowheads="1"/>
                  </pic:cNvPicPr>
                </pic:nvPicPr>
                <pic:blipFill>
                  <a:blip r:embed="rId1"/>
                  <a:stretch>
                    <a:fillRect/>
                  </a:stretch>
                </pic:blipFill>
                <pic:spPr bwMode="auto">
                  <a:xfrm>
                    <a:off x="0" y="0"/>
                    <a:ext cx="6293485" cy="1043305"/>
                  </a:xfrm>
                  <a:prstGeom prst="rect">
                    <a:avLst/>
                  </a:prstGeom>
                  <a:noFill/>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0" w:hanging="0"/>
      </w:pPr>
      <w:rPr>
        <w:rFonts w:ascii="OpenSymbol" w:hAnsi="OpenSymbol" w:cs="OpenSymbol" w:hint="default"/>
      </w:rPr>
    </w:lvl>
    <w:lvl w:ilvl="2">
      <w:start w:val="1"/>
      <w:numFmt w:val="bullet"/>
      <w:lvlText w:val=""/>
      <w:lvlJc w:val="left"/>
      <w:pPr>
        <w:tabs>
          <w:tab w:val="num" w:pos="0"/>
        </w:tabs>
        <w:ind w:left="0" w:hanging="0"/>
      </w:pPr>
      <w:rPr>
        <w:rFonts w:ascii="OpenSymbol" w:hAnsi="OpenSymbol" w:cs="OpenSymbol" w:hint="default"/>
      </w:rPr>
    </w:lvl>
    <w:lvl w:ilvl="3">
      <w:start w:val="1"/>
      <w:numFmt w:val="bullet"/>
      <w:lvlText w:val=""/>
      <w:lvlJc w:val="left"/>
      <w:pPr>
        <w:tabs>
          <w:tab w:val="num" w:pos="0"/>
        </w:tabs>
        <w:ind w:left="0" w:hanging="0"/>
      </w:pPr>
      <w:rPr>
        <w:rFonts w:ascii="OpenSymbol" w:hAnsi="OpenSymbol" w:cs="OpenSymbol" w:hint="default"/>
      </w:rPr>
    </w:lvl>
    <w:lvl w:ilvl="4">
      <w:start w:val="1"/>
      <w:numFmt w:val="bullet"/>
      <w:lvlText w:val=""/>
      <w:lvlJc w:val="left"/>
      <w:pPr>
        <w:tabs>
          <w:tab w:val="num" w:pos="0"/>
        </w:tabs>
        <w:ind w:left="0" w:hanging="0"/>
      </w:pPr>
      <w:rPr>
        <w:rFonts w:ascii="OpenSymbol" w:hAnsi="OpenSymbol" w:cs="OpenSymbol" w:hint="default"/>
      </w:rPr>
    </w:lvl>
    <w:lvl w:ilvl="5">
      <w:start w:val="1"/>
      <w:numFmt w:val="bullet"/>
      <w:lvlText w:val=""/>
      <w:lvlJc w:val="left"/>
      <w:pPr>
        <w:tabs>
          <w:tab w:val="num" w:pos="0"/>
        </w:tabs>
        <w:ind w:left="0" w:hanging="0"/>
      </w:pPr>
      <w:rPr>
        <w:rFonts w:ascii="OpenSymbol" w:hAnsi="OpenSymbol" w:cs="OpenSymbol" w:hint="default"/>
      </w:rPr>
    </w:lvl>
    <w:lvl w:ilvl="6">
      <w:start w:val="1"/>
      <w:numFmt w:val="bullet"/>
      <w:lvlText w:val=""/>
      <w:lvlJc w:val="left"/>
      <w:pPr>
        <w:tabs>
          <w:tab w:val="num" w:pos="0"/>
        </w:tabs>
        <w:ind w:left="0" w:hanging="0"/>
      </w:pPr>
      <w:rPr>
        <w:rFonts w:ascii="OpenSymbol" w:hAnsi="OpenSymbol" w:cs="OpenSymbol" w:hint="default"/>
      </w:rPr>
    </w:lvl>
    <w:lvl w:ilvl="7">
      <w:start w:val="1"/>
      <w:numFmt w:val="bullet"/>
      <w:lvlText w:val=""/>
      <w:lvlJc w:val="left"/>
      <w:pPr>
        <w:tabs>
          <w:tab w:val="num" w:pos="0"/>
        </w:tabs>
        <w:ind w:left="0" w:hanging="0"/>
      </w:pPr>
      <w:rPr>
        <w:rFonts w:ascii="OpenSymbol" w:hAnsi="OpenSymbol" w:cs="OpenSymbol" w:hint="default"/>
      </w:rPr>
    </w:lvl>
    <w:lvl w:ilvl="8">
      <w:start w:val="1"/>
      <w:numFmt w:val="bullet"/>
      <w:lvlText w:val=""/>
      <w:lvlJc w:val="left"/>
      <w:pPr>
        <w:tabs>
          <w:tab w:val="num" w:pos="0"/>
        </w:tabs>
        <w:ind w:left="0" w:hanging="0"/>
      </w:pPr>
      <w:rPr>
        <w:rFonts w:ascii="OpenSymbol" w:hAnsi="OpenSymbol" w:cs="OpenSymbol" w:hint="default"/>
      </w:rPr>
    </w:lvl>
  </w:abstractNum>
  <w:abstractNum w:abstractNumId="2">
    <w:lvl w:ilvl="0">
      <w:start w:val="1"/>
      <w:numFmt w:val="bullet"/>
      <w:lvlText w:val="✔"/>
      <w:lvlJc w:val="left"/>
      <w:pPr>
        <w:tabs>
          <w:tab w:val="num" w:pos="0"/>
        </w:tabs>
        <w:ind w:left="1287" w:hanging="360"/>
      </w:pPr>
      <w:rPr>
        <w:rFonts w:ascii="Noto Sans Symbols" w:hAnsi="Noto Sans Symbols" w:cs="Noto Sans Symbols"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Noto Sans Symbols" w:hAnsi="Noto Sans Symbols" w:cs="Noto Sans Symbols" w:hint="default"/>
      </w:rPr>
    </w:lvl>
    <w:lvl w:ilvl="3">
      <w:start w:val="1"/>
      <w:numFmt w:val="bullet"/>
      <w:lvlText w:val="●"/>
      <w:lvlJc w:val="left"/>
      <w:pPr>
        <w:tabs>
          <w:tab w:val="num" w:pos="0"/>
        </w:tabs>
        <w:ind w:left="3447" w:hanging="360"/>
      </w:pPr>
      <w:rPr>
        <w:rFonts w:ascii="Noto Sans Symbols" w:hAnsi="Noto Sans Symbols" w:cs="Noto Sans Symbols"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Noto Sans Symbols" w:hAnsi="Noto Sans Symbols" w:cs="Noto Sans Symbols" w:hint="default"/>
      </w:rPr>
    </w:lvl>
    <w:lvl w:ilvl="6">
      <w:start w:val="1"/>
      <w:numFmt w:val="bullet"/>
      <w:lvlText w:val="●"/>
      <w:lvlJc w:val="left"/>
      <w:pPr>
        <w:tabs>
          <w:tab w:val="num" w:pos="0"/>
        </w:tabs>
        <w:ind w:left="5607" w:hanging="360"/>
      </w:pPr>
      <w:rPr>
        <w:rFonts w:ascii="Noto Sans Symbols" w:hAnsi="Noto Sans Symbols" w:cs="Noto Sans Symbols"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Noto Sans Symbols" w:hAnsi="Noto Sans Symbols" w:cs="Noto Sans Symbols" w:hint="default"/>
      </w:rPr>
    </w:lvl>
  </w:abstractNum>
  <w:abstractNum w:abstractNumId="3">
    <w:lvl w:ilvl="0">
      <w:start w:val="1"/>
      <w:numFmt w:val="bullet"/>
      <w:lvlText w:val="●"/>
      <w:lvlJc w:val="left"/>
      <w:pPr>
        <w:tabs>
          <w:tab w:val="num" w:pos="0"/>
        </w:tabs>
        <w:ind w:left="1287" w:hanging="360"/>
      </w:pPr>
      <w:rPr>
        <w:rFonts w:ascii="Noto Sans Symbols" w:hAnsi="Noto Sans Symbols" w:cs="Noto Sans Symbols"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Noto Sans Symbols" w:hAnsi="Noto Sans Symbols" w:cs="Noto Sans Symbols" w:hint="default"/>
      </w:rPr>
    </w:lvl>
    <w:lvl w:ilvl="3">
      <w:start w:val="1"/>
      <w:numFmt w:val="bullet"/>
      <w:lvlText w:val="●"/>
      <w:lvlJc w:val="left"/>
      <w:pPr>
        <w:tabs>
          <w:tab w:val="num" w:pos="0"/>
        </w:tabs>
        <w:ind w:left="3447" w:hanging="360"/>
      </w:pPr>
      <w:rPr>
        <w:rFonts w:ascii="Noto Sans Symbols" w:hAnsi="Noto Sans Symbols" w:cs="Noto Sans Symbols"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Noto Sans Symbols" w:hAnsi="Noto Sans Symbols" w:cs="Noto Sans Symbols" w:hint="default"/>
      </w:rPr>
    </w:lvl>
    <w:lvl w:ilvl="6">
      <w:start w:val="1"/>
      <w:numFmt w:val="bullet"/>
      <w:lvlText w:val="●"/>
      <w:lvlJc w:val="left"/>
      <w:pPr>
        <w:tabs>
          <w:tab w:val="num" w:pos="0"/>
        </w:tabs>
        <w:ind w:left="5607" w:hanging="360"/>
      </w:pPr>
      <w:rPr>
        <w:rFonts w:ascii="Noto Sans Symbols" w:hAnsi="Noto Sans Symbols" w:cs="Noto Sans Symbols"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Noto Sans Symbols" w:hAnsi="Noto Sans Symbols" w:cs="Noto Sans Symbols" w:hint="default"/>
      </w:rPr>
    </w:lvl>
  </w:abstractNum>
  <w:abstractNum w:abstractNumId="4">
    <w:lvl w:ilvl="0">
      <w:start w:val="1"/>
      <w:numFmt w:val="bullet"/>
      <w:lvlText w:val="-"/>
      <w:lvlJc w:val="left"/>
      <w:pPr>
        <w:tabs>
          <w:tab w:val="num" w:pos="0"/>
        </w:tabs>
        <w:ind w:left="1778" w:hanging="360"/>
      </w:pPr>
      <w:rPr>
        <w:rFonts w:ascii="Garamond" w:hAnsi="Garamond" w:cs="Garamond" w:hint="default"/>
      </w:rPr>
    </w:lvl>
    <w:lvl w:ilvl="1">
      <w:start w:val="1"/>
      <w:numFmt w:val="bullet"/>
      <w:lvlText w:val="o"/>
      <w:lvlJc w:val="left"/>
      <w:pPr>
        <w:tabs>
          <w:tab w:val="num" w:pos="0"/>
        </w:tabs>
        <w:ind w:left="2498" w:hanging="360"/>
      </w:pPr>
      <w:rPr>
        <w:rFonts w:ascii="Courier New" w:hAnsi="Courier New" w:cs="Courier New" w:hint="default"/>
      </w:rPr>
    </w:lvl>
    <w:lvl w:ilvl="2">
      <w:start w:val="1"/>
      <w:numFmt w:val="bullet"/>
      <w:lvlText w:val="▪"/>
      <w:lvlJc w:val="left"/>
      <w:pPr>
        <w:tabs>
          <w:tab w:val="num" w:pos="0"/>
        </w:tabs>
        <w:ind w:left="3218" w:hanging="360"/>
      </w:pPr>
      <w:rPr>
        <w:rFonts w:ascii="Noto Sans Symbols" w:hAnsi="Noto Sans Symbols" w:cs="Noto Sans Symbols" w:hint="default"/>
      </w:rPr>
    </w:lvl>
    <w:lvl w:ilvl="3">
      <w:start w:val="1"/>
      <w:numFmt w:val="bullet"/>
      <w:lvlText w:val="●"/>
      <w:lvlJc w:val="left"/>
      <w:pPr>
        <w:tabs>
          <w:tab w:val="num" w:pos="0"/>
        </w:tabs>
        <w:ind w:left="3938" w:hanging="360"/>
      </w:pPr>
      <w:rPr>
        <w:rFonts w:ascii="Noto Sans Symbols" w:hAnsi="Noto Sans Symbols" w:cs="Noto Sans Symbols" w:hint="default"/>
      </w:rPr>
    </w:lvl>
    <w:lvl w:ilvl="4">
      <w:start w:val="1"/>
      <w:numFmt w:val="bullet"/>
      <w:lvlText w:val="o"/>
      <w:lvlJc w:val="left"/>
      <w:pPr>
        <w:tabs>
          <w:tab w:val="num" w:pos="0"/>
        </w:tabs>
        <w:ind w:left="4658" w:hanging="360"/>
      </w:pPr>
      <w:rPr>
        <w:rFonts w:ascii="Courier New" w:hAnsi="Courier New" w:cs="Courier New" w:hint="default"/>
      </w:rPr>
    </w:lvl>
    <w:lvl w:ilvl="5">
      <w:start w:val="1"/>
      <w:numFmt w:val="bullet"/>
      <w:lvlText w:val="▪"/>
      <w:lvlJc w:val="left"/>
      <w:pPr>
        <w:tabs>
          <w:tab w:val="num" w:pos="0"/>
        </w:tabs>
        <w:ind w:left="5378" w:hanging="360"/>
      </w:pPr>
      <w:rPr>
        <w:rFonts w:ascii="Noto Sans Symbols" w:hAnsi="Noto Sans Symbols" w:cs="Noto Sans Symbols" w:hint="default"/>
      </w:rPr>
    </w:lvl>
    <w:lvl w:ilvl="6">
      <w:start w:val="1"/>
      <w:numFmt w:val="bullet"/>
      <w:lvlText w:val="●"/>
      <w:lvlJc w:val="left"/>
      <w:pPr>
        <w:tabs>
          <w:tab w:val="num" w:pos="0"/>
        </w:tabs>
        <w:ind w:left="6098" w:hanging="360"/>
      </w:pPr>
      <w:rPr>
        <w:rFonts w:ascii="Noto Sans Symbols" w:hAnsi="Noto Sans Symbols" w:cs="Noto Sans Symbols" w:hint="default"/>
      </w:rPr>
    </w:lvl>
    <w:lvl w:ilvl="7">
      <w:start w:val="1"/>
      <w:numFmt w:val="bullet"/>
      <w:lvlText w:val="o"/>
      <w:lvlJc w:val="left"/>
      <w:pPr>
        <w:tabs>
          <w:tab w:val="num" w:pos="0"/>
        </w:tabs>
        <w:ind w:left="6818" w:hanging="360"/>
      </w:pPr>
      <w:rPr>
        <w:rFonts w:ascii="Courier New" w:hAnsi="Courier New" w:cs="Courier New" w:hint="default"/>
      </w:rPr>
    </w:lvl>
    <w:lvl w:ilvl="8">
      <w:start w:val="1"/>
      <w:numFmt w:val="bullet"/>
      <w:lvlText w:val="▪"/>
      <w:lvlJc w:val="left"/>
      <w:pPr>
        <w:tabs>
          <w:tab w:val="num" w:pos="0"/>
        </w:tabs>
        <w:ind w:left="7538" w:hanging="360"/>
      </w:pPr>
      <w:rPr>
        <w:rFonts w:ascii="Noto Sans Symbols" w:hAnsi="Noto Sans Symbols" w:cs="Noto Sans Symbols" w:hint="default"/>
      </w:rPr>
    </w:lvl>
  </w:abstractNum>
  <w:abstractNum w:abstractNumId="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20"/>
  <w:embedTrueTypeFonts/>
  <w:defaultTabStop w:val="720"/>
  <w:autoHyphenation w:val="true"/>
  <w:hyphenationZone w:val="0"/>
  <w:compat>
    <w:compatSetting w:name="compatibilityMode" w:uri="http://schemas.microsoft.com/office/word" w:val="12"/>
    <w:compatSetting w:name="useWord2013TrackBottomHyphenation" w:uri="http://schemas.microsoft.com/office/word" w:val="1"/>
    <w:compatSetting w:name="allowHyphenationAtTrackBottom" w:uri="http://schemas.microsoft.com/office/word" w:val="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Noto Serif CJK SC" w:cs="Lohit Devanagari"/>
        <w:sz w:val="24"/>
        <w:szCs w:val="24"/>
        <w:lang w:val="fr-FR" w:eastAsia="zh-CN" w:bidi="hi-IN"/>
      </w:rPr>
    </w:rPrDefault>
    <w:pPrDefault>
      <w:pPr>
        <w:suppressAutoHyphens w:val="true"/>
      </w:pPr>
    </w:pPrDefault>
  </w:docDefaults>
  <w:style w:type="paragraph" w:styleId="Normal">
    <w:name w:val="Normal"/>
    <w:qFormat/>
    <w:pPr>
      <w:widowControl w:val="false"/>
      <w:suppressAutoHyphens w:val="true"/>
      <w:overflowPunct w:val="false"/>
      <w:bidi w:val="0"/>
      <w:spacing w:before="0" w:after="0"/>
      <w:jc w:val="left"/>
    </w:pPr>
    <w:rPr>
      <w:rFonts w:ascii="Times New Roman" w:hAnsi="Times New Roman" w:eastAsia="Noto Serif CJK SC" w:cs="Lohit Devanagari"/>
      <w:color w:val="auto"/>
      <w:kern w:val="0"/>
      <w:sz w:val="24"/>
      <w:szCs w:val="24"/>
      <w:lang w:val="fr-FR" w:eastAsia="zh-CN" w:bidi="hi-IN"/>
    </w:rPr>
  </w:style>
  <w:style w:type="paragraph" w:styleId="Heading1">
    <w:name w:val="heading 1"/>
    <w:basedOn w:val="normal1"/>
    <w:next w:val="normal1"/>
    <w:qFormat/>
    <w:pPr>
      <w:spacing w:lineRule="auto" w:line="240" w:before="360" w:after="240"/>
      <w:jc w:val="both"/>
    </w:pPr>
    <w:rPr>
      <w:rFonts w:ascii="Calibri" w:hAnsi="Calibri" w:eastAsia="Calibri" w:cs="Calibri"/>
      <w:b/>
      <w:bCs/>
      <w:sz w:val="32"/>
      <w:szCs w:val="32"/>
    </w:rPr>
  </w:style>
  <w:style w:type="paragraph" w:styleId="Heading2">
    <w:name w:val="heading 2"/>
    <w:basedOn w:val="normal1"/>
    <w:next w:val="normal1"/>
    <w:qFormat/>
    <w:pPr>
      <w:keepNext w:val="true"/>
      <w:tabs>
        <w:tab w:val="clear" w:pos="720"/>
        <w:tab w:val="left" w:pos="709" w:leader="none"/>
      </w:tabs>
      <w:spacing w:lineRule="auto" w:line="240" w:before="240" w:after="60"/>
      <w:ind w:left="709" w:right="486"/>
    </w:pPr>
    <w:rPr>
      <w:b/>
      <w:bCs/>
    </w:rPr>
  </w:style>
  <w:style w:type="paragraph" w:styleId="Heading3">
    <w:name w:val="heading 3"/>
    <w:basedOn w:val="normal1"/>
    <w:next w:val="normal1"/>
    <w:qFormat/>
    <w:pPr>
      <w:keepNext w:val="true"/>
      <w:spacing w:lineRule="auto" w:line="240" w:before="240" w:after="60"/>
      <w:ind w:hanging="709" w:left="0"/>
    </w:pPr>
    <w:rPr>
      <w:u w:val="single"/>
    </w:rPr>
  </w:style>
  <w:style w:type="paragraph" w:styleId="Heading4">
    <w:name w:val="heading 4"/>
    <w:basedOn w:val="normal1"/>
    <w:next w:val="normal1"/>
    <w:qFormat/>
    <w:pPr>
      <w:keepNext w:val="true"/>
      <w:spacing w:lineRule="auto" w:line="240" w:before="240" w:after="60"/>
      <w:ind w:left="567"/>
    </w:pPr>
    <w:rPr>
      <w:i/>
      <w:iCs/>
    </w:rPr>
  </w:style>
  <w:style w:type="paragraph" w:styleId="Heading5">
    <w:name w:val="heading 5"/>
    <w:basedOn w:val="normal1"/>
    <w:next w:val="normal1"/>
    <w:qFormat/>
    <w:pPr>
      <w:spacing w:lineRule="auto" w:line="240" w:before="240" w:after="60"/>
      <w:ind w:hanging="0" w:left="0"/>
    </w:pPr>
    <w:rPr>
      <w:rFonts w:ascii="Arial" w:hAnsi="Arial" w:eastAsia="Arial" w:cs="Arial"/>
      <w:sz w:val="22"/>
      <w:szCs w:val="22"/>
    </w:rPr>
  </w:style>
  <w:style w:type="paragraph" w:styleId="Heading6">
    <w:name w:val="heading 6"/>
    <w:basedOn w:val="normal1"/>
    <w:next w:val="normal1"/>
    <w:qFormat/>
    <w:pPr>
      <w:spacing w:lineRule="auto" w:line="240" w:before="240" w:after="60"/>
      <w:ind w:hanging="0" w:left="0"/>
    </w:pPr>
    <w:rPr>
      <w:rFonts w:ascii="Arial" w:hAnsi="Arial" w:eastAsia="Arial" w:cs="Arial"/>
      <w:i/>
      <w:iCs/>
      <w:sz w:val="22"/>
      <w:szCs w:val="22"/>
    </w:rPr>
  </w:style>
  <w:style w:type="paragraph" w:styleId="Heading7">
    <w:name w:val="heading 7"/>
    <w:basedOn w:val="normal1"/>
    <w:next w:val="normal1"/>
    <w:qFormat/>
    <w:pPr>
      <w:numPr>
        <w:ilvl w:val="6"/>
        <w:numId w:val="1"/>
      </w:numPr>
      <w:spacing w:before="240" w:after="60"/>
      <w:outlineLvl w:val="6"/>
    </w:pPr>
    <w:rPr>
      <w:rFonts w:ascii="Arial" w:hAnsi="Arial"/>
      <w:sz w:val="20"/>
    </w:rPr>
  </w:style>
  <w:style w:type="paragraph" w:styleId="Heading8">
    <w:name w:val="heading 8"/>
    <w:basedOn w:val="normal1"/>
    <w:next w:val="normal1"/>
    <w:qFormat/>
    <w:pPr>
      <w:numPr>
        <w:ilvl w:val="7"/>
        <w:numId w:val="1"/>
      </w:numPr>
      <w:spacing w:before="240" w:after="60"/>
      <w:outlineLvl w:val="7"/>
    </w:pPr>
    <w:rPr>
      <w:rFonts w:ascii="Arial" w:hAnsi="Arial"/>
      <w:i/>
      <w:sz w:val="20"/>
    </w:rPr>
  </w:style>
  <w:style w:type="paragraph" w:styleId="Heading9">
    <w:name w:val="heading 9"/>
    <w:basedOn w:val="normal1"/>
    <w:next w:val="normal1"/>
    <w:qFormat/>
    <w:pPr>
      <w:numPr>
        <w:ilvl w:val="8"/>
        <w:numId w:val="1"/>
      </w:numPr>
      <w:spacing w:before="240" w:after="60"/>
      <w:outlineLvl w:val="8"/>
    </w:pPr>
    <w:rPr>
      <w:rFonts w:ascii="Arial" w:hAnsi="Arial"/>
      <w:i/>
      <w:sz w:val="18"/>
    </w:rPr>
  </w:style>
  <w:style w:type="character" w:styleId="DefaultParagraphFont">
    <w:name w:val="Default Paragraph Font"/>
    <w:qFormat/>
    <w:rPr/>
  </w:style>
  <w:style w:type="character" w:styleId="PageNumber">
    <w:name w:val="page number"/>
    <w:basedOn w:val="DefaultParagraphFont"/>
    <w:rPr/>
  </w:style>
  <w:style w:type="character" w:styleId="Hyperlink">
    <w:name w:val="Hyperlink"/>
    <w:rPr>
      <w:color w:val="0000FF"/>
      <w:u w:val="single"/>
    </w:rPr>
  </w:style>
  <w:style w:type="character" w:styleId="TextedebullesCar">
    <w:name w:val="Texte de bulles Car"/>
    <w:link w:val="BalloonText"/>
    <w:qFormat/>
    <w:rPr>
      <w:rFonts w:ascii="Tahoma" w:hAnsi="Tahoma" w:cs="Tahoma"/>
      <w:sz w:val="16"/>
      <w:szCs w:val="16"/>
    </w:rPr>
  </w:style>
  <w:style w:type="character" w:styleId="CommentReference">
    <w:name w:val="annotation reference"/>
    <w:qFormat/>
    <w:rPr>
      <w:sz w:val="16"/>
      <w:szCs w:val="16"/>
    </w:rPr>
  </w:style>
  <w:style w:type="character" w:styleId="CommentaireCar">
    <w:name w:val="Commentaire Car"/>
    <w:basedOn w:val="DefaultParagraphFont"/>
    <w:qFormat/>
    <w:rPr/>
  </w:style>
  <w:style w:type="character" w:styleId="ObjetducommentaireCar">
    <w:name w:val="Objet du commentaire Car"/>
    <w:link w:val="annotationsubject"/>
    <w:qFormat/>
    <w:rPr>
      <w:b/>
      <w:bCs/>
    </w:rPr>
  </w:style>
  <w:style w:type="character" w:styleId="Titre2Car">
    <w:name w:val="Titre 2 Car"/>
    <w:qFormat/>
    <w:rPr>
      <w:b/>
      <w:sz w:val="24"/>
    </w:rPr>
  </w:style>
  <w:style w:type="character" w:styleId="PieddepageCar">
    <w:name w:val="Pied de page Car"/>
    <w:qFormat/>
    <w:rPr>
      <w:sz w:val="24"/>
    </w:rPr>
  </w:style>
  <w:style w:type="character" w:styleId="Mentionnonrsolue1">
    <w:name w:val="Mention non résolue1"/>
    <w:basedOn w:val="DefaultParagraphFont"/>
    <w:qFormat/>
    <w:rPr>
      <w:color w:val="605E5C"/>
      <w:shd w:fill="E1DFDD" w:val="clear"/>
    </w:rPr>
  </w:style>
  <w:style w:type="character" w:styleId="Strong">
    <w:name w:val="Strong"/>
    <w:basedOn w:val="DefaultParagraphFont"/>
    <w:qFormat/>
    <w:rPr>
      <w:b/>
      <w:bCs/>
    </w:rPr>
  </w:style>
  <w:style w:type="character" w:styleId="UnresolvedMention">
    <w:name w:val="Unresolved Mention"/>
    <w:basedOn w:val="DefaultParagraphFont"/>
    <w:qFormat/>
    <w:rPr>
      <w:color w:val="605E5C"/>
      <w:shd w:fill="E1DFDD" w:val="clear"/>
    </w:rPr>
  </w:style>
  <w:style w:type="paragraph" w:styleId="Titre">
    <w:name w:val="Titre"/>
    <w:basedOn w:val="Normal"/>
    <w:next w:val="BodyText"/>
    <w:qFormat/>
    <w:pPr>
      <w:keepNext w:val="true"/>
      <w:spacing w:before="240" w:after="120"/>
    </w:pPr>
    <w:rPr>
      <w:rFonts w:ascii="Liberation Sans" w:hAnsi="Liberation Sans" w:eastAsia="Noto Sans CJK SC" w:cs="Lohit Devanagari"/>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Titreuser">
    <w:name w:val="Titre (user)"/>
    <w:basedOn w:val="Normal"/>
    <w:next w:val="BodyText"/>
    <w:qFormat/>
    <w:pPr>
      <w:keepNext w:val="true"/>
      <w:spacing w:before="240" w:after="120"/>
    </w:pPr>
    <w:rPr>
      <w:rFonts w:ascii="Liberation Sans" w:hAnsi="Liberation Sans" w:eastAsia="Noto Sans CJK SC" w:cs="Lohit Devanagari"/>
      <w:sz w:val="28"/>
      <w:szCs w:val="28"/>
    </w:rPr>
  </w:style>
  <w:style w:type="paragraph" w:styleId="normal1">
    <w:name w:val="normal1"/>
    <w:qFormat/>
    <w:pPr>
      <w:widowControl/>
      <w:suppressAutoHyphens w:val="true"/>
      <w:overflowPunct w:val="false"/>
      <w:bidi w:val="0"/>
      <w:spacing w:before="0" w:after="0"/>
      <w:jc w:val="left"/>
    </w:pPr>
    <w:rPr>
      <w:rFonts w:ascii="Times New Roman" w:hAnsi="Times New Roman" w:eastAsia="Noto Serif CJK SC" w:cs="Lohit Devanagari"/>
      <w:color w:val="auto"/>
      <w:kern w:val="0"/>
      <w:sz w:val="24"/>
      <w:szCs w:val="24"/>
      <w:lang w:val="fr-FR" w:eastAsia="zh-CN" w:bidi="hi-IN"/>
    </w:rPr>
  </w:style>
  <w:style w:type="paragraph" w:styleId="Title">
    <w:name w:val="Title"/>
    <w:basedOn w:val="normal1"/>
    <w:next w:val="normal1"/>
    <w:qFormat/>
    <w:pPr>
      <w:keepNext w:val="true"/>
      <w:keepLines/>
      <w:pageBreakBefore w:val="false"/>
      <w:spacing w:lineRule="auto" w:line="240" w:before="480" w:after="120"/>
    </w:pPr>
    <w:rPr>
      <w:b/>
      <w:bCs/>
      <w:sz w:val="72"/>
      <w:szCs w:val="72"/>
    </w:rPr>
  </w:style>
  <w:style w:type="paragraph" w:styleId="texte">
    <w:name w:val="texte"/>
    <w:basedOn w:val="normal1"/>
    <w:qFormat/>
    <w:pPr>
      <w:ind w:left="567"/>
      <w:jc w:val="both"/>
    </w:pPr>
    <w:rPr/>
  </w:style>
  <w:style w:type="paragraph" w:styleId="NormalIndent">
    <w:name w:val="Normal Indent"/>
    <w:basedOn w:val="normal1"/>
    <w:qFormat/>
    <w:pPr>
      <w:ind w:left="567"/>
      <w:jc w:val="both"/>
    </w:pPr>
    <w:rPr/>
  </w:style>
  <w:style w:type="paragraph" w:styleId="TOC1">
    <w:name w:val="toc 1"/>
    <w:basedOn w:val="normal1"/>
    <w:next w:val="normal1"/>
    <w:autoRedefine/>
    <w:pPr>
      <w:tabs>
        <w:tab w:val="clear" w:pos="720"/>
        <w:tab w:val="left" w:pos="567" w:leader="none"/>
        <w:tab w:val="right" w:pos="10206" w:leader="dot"/>
      </w:tabs>
      <w:spacing w:before="120" w:after="0"/>
    </w:pPr>
    <w:rPr>
      <w:b/>
      <w:i/>
    </w:rPr>
  </w:style>
  <w:style w:type="paragraph" w:styleId="TOC2">
    <w:name w:val="toc 2"/>
    <w:basedOn w:val="normal1"/>
    <w:next w:val="normal1"/>
    <w:autoRedefine/>
    <w:pPr>
      <w:tabs>
        <w:tab w:val="clear" w:pos="720"/>
        <w:tab w:val="right" w:pos="10206" w:leader="dot"/>
      </w:tabs>
      <w:spacing w:before="60" w:after="0"/>
      <w:ind w:hanging="567" w:left="1276"/>
    </w:pPr>
    <w:rPr>
      <w:szCs w:val="24"/>
    </w:rPr>
  </w:style>
  <w:style w:type="paragraph" w:styleId="TOC3">
    <w:name w:val="toc 3"/>
    <w:basedOn w:val="normal1"/>
    <w:next w:val="normal1"/>
    <w:pPr>
      <w:tabs>
        <w:tab w:val="clear" w:pos="720"/>
        <w:tab w:val="right" w:pos="10206" w:leader="dot"/>
      </w:tabs>
      <w:ind w:left="240"/>
    </w:pPr>
    <w:rPr>
      <w:sz w:val="20"/>
    </w:rPr>
  </w:style>
  <w:style w:type="paragraph" w:styleId="TOC4">
    <w:name w:val="toc 4"/>
    <w:basedOn w:val="normal1"/>
    <w:next w:val="normal1"/>
    <w:pPr>
      <w:tabs>
        <w:tab w:val="clear" w:pos="720"/>
        <w:tab w:val="right" w:pos="10206" w:leader="dot"/>
      </w:tabs>
      <w:ind w:left="480"/>
    </w:pPr>
    <w:rPr>
      <w:sz w:val="20"/>
    </w:rPr>
  </w:style>
  <w:style w:type="paragraph" w:styleId="TOC5">
    <w:name w:val="toc 5"/>
    <w:basedOn w:val="normal1"/>
    <w:next w:val="normal1"/>
    <w:pPr>
      <w:tabs>
        <w:tab w:val="clear" w:pos="720"/>
        <w:tab w:val="right" w:pos="10206" w:leader="dot"/>
      </w:tabs>
      <w:ind w:left="720"/>
    </w:pPr>
    <w:rPr>
      <w:sz w:val="20"/>
    </w:rPr>
  </w:style>
  <w:style w:type="paragraph" w:styleId="TOC6">
    <w:name w:val="toc 6"/>
    <w:basedOn w:val="normal1"/>
    <w:next w:val="normal1"/>
    <w:pPr>
      <w:tabs>
        <w:tab w:val="clear" w:pos="720"/>
        <w:tab w:val="right" w:pos="10206" w:leader="dot"/>
      </w:tabs>
      <w:ind w:left="960"/>
    </w:pPr>
    <w:rPr>
      <w:sz w:val="20"/>
    </w:rPr>
  </w:style>
  <w:style w:type="paragraph" w:styleId="TOC7">
    <w:name w:val="toc 7"/>
    <w:basedOn w:val="normal1"/>
    <w:next w:val="normal1"/>
    <w:pPr>
      <w:tabs>
        <w:tab w:val="clear" w:pos="720"/>
        <w:tab w:val="right" w:pos="10206" w:leader="dot"/>
      </w:tabs>
      <w:ind w:left="1200"/>
    </w:pPr>
    <w:rPr>
      <w:sz w:val="20"/>
    </w:rPr>
  </w:style>
  <w:style w:type="paragraph" w:styleId="TOC8">
    <w:name w:val="toc 8"/>
    <w:basedOn w:val="normal1"/>
    <w:next w:val="normal1"/>
    <w:pPr>
      <w:tabs>
        <w:tab w:val="clear" w:pos="720"/>
        <w:tab w:val="right" w:pos="10206" w:leader="dot"/>
      </w:tabs>
      <w:ind w:left="1440"/>
    </w:pPr>
    <w:rPr>
      <w:sz w:val="20"/>
    </w:rPr>
  </w:style>
  <w:style w:type="paragraph" w:styleId="TOC9">
    <w:name w:val="toc 9"/>
    <w:basedOn w:val="normal1"/>
    <w:next w:val="normal1"/>
    <w:pPr>
      <w:tabs>
        <w:tab w:val="clear" w:pos="720"/>
        <w:tab w:val="right" w:pos="10206" w:leader="dot"/>
      </w:tabs>
      <w:ind w:left="1680"/>
    </w:pPr>
    <w:rPr>
      <w:sz w:val="20"/>
    </w:rPr>
  </w:style>
  <w:style w:type="paragraph" w:styleId="En-tteetpieddepageuser">
    <w:name w:val="En-tête et pied de page (user)"/>
    <w:basedOn w:val="Normal"/>
    <w:qFormat/>
    <w:pPr/>
    <w:rPr/>
  </w:style>
  <w:style w:type="paragraph" w:styleId="En-tteetpieddepage">
    <w:name w:val="En-tête et pied de page"/>
    <w:basedOn w:val="Normal"/>
    <w:qFormat/>
    <w:pPr/>
    <w:rPr/>
  </w:style>
  <w:style w:type="paragraph" w:styleId="Header">
    <w:name w:val="header"/>
    <w:basedOn w:val="normal1"/>
    <w:pPr>
      <w:tabs>
        <w:tab w:val="clear" w:pos="720"/>
        <w:tab w:val="center" w:pos="4536" w:leader="none"/>
        <w:tab w:val="right" w:pos="9072" w:leader="none"/>
      </w:tabs>
    </w:pPr>
    <w:rPr/>
  </w:style>
  <w:style w:type="paragraph" w:styleId="Footer">
    <w:name w:val="footer"/>
    <w:basedOn w:val="normal1"/>
    <w:link w:val="PieddepageCar"/>
    <w:pPr>
      <w:tabs>
        <w:tab w:val="clear" w:pos="720"/>
        <w:tab w:val="center" w:pos="4536" w:leader="none"/>
        <w:tab w:val="right" w:pos="9072" w:leader="none"/>
      </w:tabs>
    </w:pPr>
    <w:rPr/>
  </w:style>
  <w:style w:type="paragraph" w:styleId="Paragraphe4">
    <w:name w:val="Paragraphe 4"/>
    <w:basedOn w:val="normal1"/>
    <w:qFormat/>
    <w:pPr>
      <w:spacing w:lineRule="auto" w:line="264" w:before="120" w:after="60"/>
      <w:ind w:left="851" w:right="284"/>
      <w:jc w:val="both"/>
    </w:pPr>
    <w:rPr>
      <w:rFonts w:ascii="Arial" w:hAnsi="Arial"/>
      <w:sz w:val="22"/>
    </w:rPr>
  </w:style>
  <w:style w:type="paragraph" w:styleId="BodyTextIndent">
    <w:name w:val="Body Text Indent"/>
    <w:basedOn w:val="normal1"/>
    <w:pPr>
      <w:ind w:left="567"/>
      <w:jc w:val="both"/>
    </w:pPr>
    <w:rPr>
      <w:color w:val="FF0000"/>
    </w:rPr>
  </w:style>
  <w:style w:type="paragraph" w:styleId="BodyText2">
    <w:name w:val="Body Text 2"/>
    <w:basedOn w:val="normal1"/>
    <w:qFormat/>
    <w:pPr>
      <w:jc w:val="both"/>
    </w:pPr>
    <w:rPr>
      <w:b/>
    </w:rPr>
  </w:style>
  <w:style w:type="paragraph" w:styleId="BodyTextIndent3">
    <w:name w:val="Body Text Indent 3"/>
    <w:basedOn w:val="normal1"/>
    <w:qFormat/>
    <w:pPr>
      <w:spacing w:before="0" w:after="120"/>
      <w:ind w:left="283"/>
    </w:pPr>
    <w:rPr>
      <w:sz w:val="16"/>
      <w:szCs w:val="16"/>
    </w:rPr>
  </w:style>
  <w:style w:type="paragraph" w:styleId="BodyTextIndent2">
    <w:name w:val="Body Text Indent 2"/>
    <w:basedOn w:val="normal1"/>
    <w:qFormat/>
    <w:pPr>
      <w:spacing w:lineRule="auto" w:line="480" w:before="0" w:after="120"/>
      <w:ind w:left="283"/>
    </w:pPr>
    <w:rPr/>
  </w:style>
  <w:style w:type="paragraph" w:styleId="Normal2">
    <w:name w:val="Normal2"/>
    <w:basedOn w:val="normal1"/>
    <w:qFormat/>
    <w:pPr>
      <w:keepLines/>
      <w:tabs>
        <w:tab w:val="clear" w:pos="720"/>
        <w:tab w:val="left" w:pos="567" w:leader="none"/>
        <w:tab w:val="left" w:pos="851" w:leader="none"/>
        <w:tab w:val="left" w:pos="1134" w:leader="none"/>
      </w:tabs>
      <w:suppressAutoHyphens w:val="true"/>
      <w:ind w:firstLine="284" w:left="284"/>
      <w:jc w:val="both"/>
    </w:pPr>
    <w:rPr>
      <w:sz w:val="22"/>
    </w:rPr>
  </w:style>
  <w:style w:type="paragraph" w:styleId="Index1">
    <w:name w:val="index 1"/>
    <w:basedOn w:val="normal1"/>
    <w:next w:val="normal1"/>
    <w:pPr/>
    <w:rPr/>
  </w:style>
  <w:style w:type="paragraph" w:styleId="BalloonText">
    <w:name w:val="Balloon Text"/>
    <w:basedOn w:val="normal1"/>
    <w:link w:val="TextedebullesCar"/>
    <w:qFormat/>
    <w:pPr/>
    <w:rPr>
      <w:rFonts w:ascii="Tahoma" w:hAnsi="Tahoma" w:cs="Tahoma"/>
      <w:sz w:val="16"/>
      <w:szCs w:val="16"/>
    </w:rPr>
  </w:style>
  <w:style w:type="paragraph" w:styleId="Revision">
    <w:name w:val="Revision"/>
    <w:qFormat/>
    <w:pPr>
      <w:widowControl/>
      <w:suppressAutoHyphens w:val="true"/>
      <w:overflowPunct w:val="false"/>
      <w:bidi w:val="0"/>
      <w:spacing w:before="0" w:after="0"/>
      <w:jc w:val="left"/>
    </w:pPr>
    <w:rPr>
      <w:rFonts w:ascii="Times New Roman" w:hAnsi="Times New Roman" w:eastAsia="Noto Serif CJK SC" w:cs="Lohit Devanagari"/>
      <w:color w:val="auto"/>
      <w:kern w:val="0"/>
      <w:sz w:val="24"/>
      <w:szCs w:val="24"/>
      <w:lang w:val="fr-FR" w:eastAsia="zh-CN" w:bidi="hi-IN"/>
    </w:rPr>
  </w:style>
  <w:style w:type="paragraph" w:styleId="CommentText">
    <w:name w:val="annotation text"/>
    <w:basedOn w:val="normal1"/>
    <w:link w:val="CommentaireCar"/>
    <w:pPr/>
    <w:rPr>
      <w:sz w:val="20"/>
    </w:rPr>
  </w:style>
  <w:style w:type="paragraph" w:styleId="annotationsubject">
    <w:name w:val="annotation subject"/>
    <w:basedOn w:val="CommentText"/>
    <w:next w:val="CommentText"/>
    <w:link w:val="ObjetducommentaireCar"/>
    <w:qFormat/>
    <w:pPr/>
    <w:rPr>
      <w:b/>
      <w:bCs/>
    </w:rPr>
  </w:style>
  <w:style w:type="paragraph" w:styleId="Standard">
    <w:name w:val="Standard"/>
    <w:qFormat/>
    <w:pPr>
      <w:widowControl/>
      <w:suppressAutoHyphens w:val="true"/>
      <w:overflowPunct w:val="false"/>
      <w:bidi w:val="0"/>
      <w:spacing w:before="0" w:after="0"/>
      <w:jc w:val="left"/>
      <w:textAlignment w:val="baseline"/>
    </w:pPr>
    <w:rPr>
      <w:rFonts w:ascii="Times New Roman" w:hAnsi="Times New Roman" w:eastAsia="Noto Serif CJK SC" w:cs="Lohit Devanagari"/>
      <w:color w:val="auto"/>
      <w:kern w:val="2"/>
      <w:sz w:val="24"/>
      <w:szCs w:val="24"/>
      <w:lang w:val="fr-FR" w:eastAsia="zh-CN" w:bidi="hi-IN"/>
    </w:rPr>
  </w:style>
  <w:style w:type="paragraph" w:styleId="ListParagraph">
    <w:name w:val="List Paragraph"/>
    <w:basedOn w:val="normal1"/>
    <w:qFormat/>
    <w:pPr>
      <w:spacing w:before="0" w:after="0"/>
      <w:ind w:left="720"/>
      <w:contextualSpacing/>
    </w:pPr>
    <w:rPr/>
  </w:style>
  <w:style w:type="paragraph" w:styleId="Subtitle">
    <w:name w:val="Subtitle"/>
    <w:basedOn w:val="normal1"/>
    <w:next w:val="normal1"/>
    <w:qFormat/>
    <w:pPr>
      <w:keepNext w:val="true"/>
      <w:keepLines/>
      <w:pageBreakBefore w:val="false"/>
      <w:spacing w:lineRule="auto" w:line="240" w:before="360" w:after="80"/>
    </w:pPr>
    <w:rPr>
      <w:rFonts w:ascii="Georgia" w:hAnsi="Georgia" w:eastAsia="Georgia" w:cs="Georgia"/>
      <w:i/>
      <w:iCs/>
      <w:color w:val="666666"/>
      <w:sz w:val="48"/>
      <w:szCs w:val="48"/>
    </w:rPr>
  </w:style>
  <w:style w:type="paragraph" w:styleId="Contenudetableauuser">
    <w:name w:val="Contenu de tableau (user)"/>
    <w:basedOn w:val="Normal"/>
    <w:qFormat/>
    <w:pPr>
      <w:widowControl w:val="false"/>
      <w:suppressLineNumbers/>
    </w:pPr>
    <w:rPr/>
  </w:style>
  <w:style w:type="paragraph" w:styleId="Contenudetableau">
    <w:name w:val="Contenu de tableau"/>
    <w:basedOn w:val="Normal"/>
    <w:qFormat/>
    <w:pPr>
      <w:widowControl w:val="false"/>
      <w:suppressLineNumbers/>
    </w:pPr>
    <w:rPr/>
  </w:style>
  <w:style w:type="paragraph" w:styleId="Titredetableau">
    <w:name w:val="Titre de tableau"/>
    <w:basedOn w:val="Contenudetableau"/>
    <w:qFormat/>
    <w:pPr>
      <w:suppressLineNumbers/>
      <w:jc w:val="center"/>
    </w:pPr>
    <w:rPr>
      <w:b/>
      <w:bCs/>
    </w:rPr>
  </w:style>
  <w:style w:type="numbering" w:styleId="Pasdeliste">
    <w:name w:val="Pas de liste"/>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mailto:bruno-1.borel@gendarmerie.interieur.gouv.fr" TargetMode="External"/><Relationship Id="rId4" Type="http://schemas.openxmlformats.org/officeDocument/2006/relationships/hyperlink" Target="mailto:clauses@mdef-sudardeche.fr" TargetMode="External"/><Relationship Id="rId5" Type="http://schemas.openxmlformats.org/officeDocument/2006/relationships/hyperlink" Target="mailto:clauses@mdef-sudardeche.fr" TargetMode="External"/><Relationship Id="rId6" Type="http://schemas.openxmlformats.org/officeDocument/2006/relationships/hyperlink" Target="mailto:direction@mdef-sudardeche.fr" TargetMode="Externa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footer" Target="footer3.xml"/><Relationship Id="rId13" Type="http://schemas.openxmlformats.org/officeDocument/2006/relationships/numbering" Target="numbering.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Relationship Id="rId31" Type="http://schemas.openxmlformats.org/officeDocument/2006/relationships/font" Target="fonts/font31.odttf"/><Relationship Id="rId32" Type="http://schemas.openxmlformats.org/officeDocument/2006/relationships/font" Target="fonts/font32.odttf"/>
</Relationships>
</file>

<file path=word/_rels/header2.xml.rels><?xml version="1.0" encoding="UTF-8"?>
<Relationships xmlns="http://schemas.openxmlformats.org/package/2006/relationships"><Relationship Id="rId1" Type="http://schemas.openxmlformats.org/officeDocument/2006/relationships/image" Target="media/image2.jpeg"/>
</Relationships>
</file>

<file path=word/_rels/header3.xml.rels><?xml version="1.0" encoding="UTF-8"?>
<Relationships xmlns="http://schemas.openxmlformats.org/package/2006/relationships"><Relationship Id="rId1" Type="http://schemas.openxmlformats.org/officeDocument/2006/relationships/image" Target="media/image2.jpeg"/>
</Relationships>
</file>

<file path=word/theme/theme1.xml><?xml version="1.0" encoding="utf-8"?>
<a:theme xmlns:a="http://schemas.openxmlformats.org/drawingml/2006/main" xmlns:r="http://schemas.openxmlformats.org/officeDocument/2006/relationships" name="Thème Office">
  <a:themeElements>
    <a:clrScheme name="Clauses sociales">
      <a:dk1>
        <a:srgbClr val="000000"/>
      </a:dk1>
      <a:lt1>
        <a:srgbClr val="ffffff"/>
      </a:lt1>
      <a:dk2>
        <a:srgbClr val="44546a"/>
      </a:dk2>
      <a:lt2>
        <a:srgbClr val="e7e6e6"/>
      </a:lt2>
      <a:accent1>
        <a:srgbClr val="5aa2ae"/>
      </a:accent1>
      <a:accent2>
        <a:srgbClr val="c4bcc6"/>
      </a:accent2>
      <a:accent3>
        <a:srgbClr val="91babe"/>
      </a:accent3>
      <a:accent4>
        <a:srgbClr val="aba396"/>
      </a:accent4>
      <a:accent5>
        <a:srgbClr val="ffc000"/>
      </a:accent5>
      <a:accent6>
        <a:srgbClr val="ed7d31"/>
      </a:accent6>
      <a:hlink>
        <a:srgbClr val="0563c1"/>
      </a:hlink>
      <a:folHlink>
        <a:srgbClr val="954f72"/>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68</TotalTime>
  <Application>LibreOffice/24.8.5.2$Linux_X86_64 LibreOffice_project/480$Build-2</Application>
  <AppVersion>15.0000</AppVersion>
  <Pages>8</Pages>
  <Words>2117</Words>
  <Characters>11651</Characters>
  <CharactersWithSpaces>13730</CharactersWithSpaces>
  <Paragraphs>130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2024-03-21T14:52:00Z</dcterms:created>
  <dc:creator>AB</dc:creator>
  <dc:description/>
  <dc:language>fr-FR</dc:language>
  <cp:lastModifiedBy/>
  <dcterms:modified xsi:type="dcterms:W3CDTF">2026-07-15T17:05:45Z</dcterms:modified>
  <cp:revision>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rn:bails:IntellectualProperty:Authorization:StartValidity">
    <vt:lpwstr>2026-06-22T14:11:39,026382108</vt:lpwstr>
  </property>
  <property fmtid="{D5CDD505-2E9C-101B-9397-08002B2CF9AE}" pid="3" name="urn:bails:IntellectualProperty:Authorization:StopValidity">
    <vt:lpwstr>None</vt:lpwstr>
  </property>
  <property fmtid="{D5CDD505-2E9C-101B-9397-08002B2CF9AE}" pid="4" name="urn:bails:IntellectualProperty:BusinessAuthorization:Identifier">
    <vt:lpwstr>urn:example:tscp:1</vt:lpwstr>
  </property>
  <property fmtid="{D5CDD505-2E9C-101B-9397-08002B2CF9AE}" pid="5" name="urn:bails:IntellectualProperty:BusinessAuthorization:Locator">
    <vt:lpwstr>None</vt:lpwstr>
  </property>
  <property fmtid="{D5CDD505-2E9C-101B-9397-08002B2CF9AE}" pid="6" name="urn:bails:IntellectualProperty:BusinessAuthorization:Name">
    <vt:lpwstr>None</vt:lpwstr>
  </property>
  <property fmtid="{D5CDD505-2E9C-101B-9397-08002B2CF9AE}" pid="7" name="urn:bails:IntellectualProperty:BusinessAuthorizationCategory:Identifier">
    <vt:lpwstr>urn:example:tscp:1:non-business</vt:lpwstr>
  </property>
  <property fmtid="{D5CDD505-2E9C-101B-9397-08002B2CF9AE}" pid="8" name="urn:bails:IntellectualProperty:BusinessAuthorizationCategory:Identifier:OID">
    <vt:lpwstr>None</vt:lpwstr>
  </property>
  <property fmtid="{D5CDD505-2E9C-101B-9397-08002B2CF9AE}" pid="9" name="urn:bails:IntellectualProperty:BusinessAuthorizationCategory:Locator">
    <vt:lpwstr>None</vt:lpwstr>
  </property>
  <property fmtid="{D5CDD505-2E9C-101B-9397-08002B2CF9AE}" pid="10" name="urn:bails:IntellectualProperty:BusinessAuthorizationCategory:Name">
    <vt:lpwstr>Public</vt:lpwstr>
  </property>
  <property fmtid="{D5CDD505-2E9C-101B-9397-08002B2CF9AE}" pid="11" name="urn:bails:IntellectualProperty:CreationOrigin">
    <vt:lpwstr>BAF_POLICY</vt:lpwstr>
  </property>
  <property fmtid="{D5CDD505-2E9C-101B-9397-08002B2CF9AE}" pid="12" name="urn:bails:IntellectualProperty:Impact:Level:Availability">
    <vt:lpwstr>0</vt:lpwstr>
  </property>
  <property fmtid="{D5CDD505-2E9C-101B-9397-08002B2CF9AE}" pid="13" name="urn:bails:IntellectualProperty:Impact:Level:Confidentiality">
    <vt:lpwstr>0</vt:lpwstr>
  </property>
  <property fmtid="{D5CDD505-2E9C-101B-9397-08002B2CF9AE}" pid="14" name="urn:bails:IntellectualProperty:Impact:Level:Integrity">
    <vt:lpwstr>0</vt:lpwstr>
  </property>
  <property fmtid="{D5CDD505-2E9C-101B-9397-08002B2CF9AE}" pid="15" name="urn:bails:IntellectualProperty:Impact:Scale">
    <vt:lpwstr>UK-Cabinet</vt:lpwstr>
  </property>
  <property fmtid="{D5CDD505-2E9C-101B-9397-08002B2CF9AE}" pid="16" name="urn:bails:IntellectualProperty:Marking:document-footer">
    <vt:lpwstr/>
  </property>
  <property fmtid="{D5CDD505-2E9C-101B-9397-08002B2CF9AE}" pid="17" name="urn:bails:IntellectualProperty:Marking:document-header">
    <vt:lpwstr/>
  </property>
  <property fmtid="{D5CDD505-2E9C-101B-9397-08002B2CF9AE}" pid="18" name="urn:bails:IntellectualProperty:Marking:document-watermark">
    <vt:lpwstr/>
  </property>
  <property fmtid="{D5CDD505-2E9C-101B-9397-08002B2CF9AE}" pid="19" name="urn:bails:IntellectualProperty:Marking:email-first-line-of-text">
    <vt:lpwstr/>
  </property>
  <property fmtid="{D5CDD505-2E9C-101B-9397-08002B2CF9AE}" pid="20" name="urn:bails:IntellectualProperty:Marking:email-last-line-of-text">
    <vt:lpwstr/>
  </property>
  <property fmtid="{D5CDD505-2E9C-101B-9397-08002B2CF9AE}" pid="21" name="urn:bails:IntellectualProperty:Marking:email-subject-prefix">
    <vt:lpwstr/>
  </property>
  <property fmtid="{D5CDD505-2E9C-101B-9397-08002B2CF9AE}" pid="22" name="urn:bails:IntellectualProperty:Marking:email-subject-suffix">
    <vt:lpwstr/>
  </property>
  <property fmtid="{D5CDD505-2E9C-101B-9397-08002B2CF9AE}" pid="23" name="urn:bails:IntellectualProperty:Marking:general-distribution-statement">
    <vt:lpwstr/>
  </property>
  <property fmtid="{D5CDD505-2E9C-101B-9397-08002B2CF9AE}" pid="24" name="urn:bails:IntellectualProperty:Marking:general-distribution-statement:ext:2">
    <vt:lpwstr/>
  </property>
  <property fmtid="{D5CDD505-2E9C-101B-9397-08002B2CF9AE}" pid="25" name="urn:bails:IntellectualProperty:Marking:general-distribution-statement:ext:3">
    <vt:lpwstr/>
  </property>
  <property fmtid="{D5CDD505-2E9C-101B-9397-08002B2CF9AE}" pid="26" name="urn:bails:IntellectualProperty:Marking:general-distribution-statement:ext:4">
    <vt:lpwstr/>
  </property>
  <property fmtid="{D5CDD505-2E9C-101B-9397-08002B2CF9AE}" pid="27" name="urn:bails:IntellectualProperty:Marking:general-summary">
    <vt:lpwstr/>
  </property>
  <property fmtid="{D5CDD505-2E9C-101B-9397-08002B2CF9AE}" pid="28" name="urn:bails:IntellectualProperty:Marking:general-warning-statement">
    <vt:lpwstr/>
  </property>
  <property fmtid="{D5CDD505-2E9C-101B-9397-08002B2CF9AE}" pid="29" name="urn:bails:IntellectualProperty:Marking:general-warning-statement:ext:2">
    <vt:lpwstr/>
  </property>
  <property fmtid="{D5CDD505-2E9C-101B-9397-08002B2CF9AE}" pid="30" name="urn:bails:IntellectualProperty:Marking:general-warning-statement:ext:3">
    <vt:lpwstr/>
  </property>
  <property fmtid="{D5CDD505-2E9C-101B-9397-08002B2CF9AE}" pid="31" name="urn:bails:IntellectualProperty:Marking:general-warning-statement:ext:4">
    <vt:lpwstr/>
  </property>
  <property fmtid="{D5CDD505-2E9C-101B-9397-08002B2CF9AE}" pid="32" name="urn:bails:IntellectualProperty:MarkingPrecedence">
    <vt:lpwstr>None</vt:lpwstr>
  </property>
  <property fmtid="{D5CDD505-2E9C-101B-9397-08002B2CF9AE}" pid="33" name="urn:bails:IntellectualProperty:Policy:Identifier">
    <vt:lpwstr>None</vt:lpwstr>
  </property>
  <property fmtid="{D5CDD505-2E9C-101B-9397-08002B2CF9AE}" pid="34" name="urn:bails:IntellectualProperty:Policy:Name">
    <vt:lpwstr>Exemple de stratégie TSCP</vt:lpwstr>
  </property>
  <property fmtid="{D5CDD505-2E9C-101B-9397-08002B2CF9AE}" pid="35" name="urn:bails:IntellectualProperty:PolicyAuthority:Country">
    <vt:lpwstr>None</vt:lpwstr>
  </property>
  <property fmtid="{D5CDD505-2E9C-101B-9397-08002B2CF9AE}" pid="36" name="urn:bails:IntellectualProperty:PolicyAuthority:Identifier">
    <vt:lpwstr>None</vt:lpwstr>
  </property>
  <property fmtid="{D5CDD505-2E9C-101B-9397-08002B2CF9AE}" pid="37" name="urn:bails:IntellectualProperty:PolicyAuthority:Name">
    <vt:lpwstr>Exemple d'autorité TSCP</vt:lpwstr>
  </property>
</Properties>
</file>